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6E" w:rsidRDefault="00BA636E" w:rsidP="00721DA6">
      <w:pPr>
        <w:spacing w:after="0" w:line="480" w:lineRule="auto"/>
        <w:jc w:val="both"/>
        <w:rPr>
          <w:b/>
          <w:sz w:val="28"/>
        </w:rPr>
      </w:pPr>
      <w:r>
        <w:rPr>
          <w:b/>
          <w:sz w:val="28"/>
        </w:rPr>
        <w:t xml:space="preserve">Safeguarding </w:t>
      </w:r>
      <w:r w:rsidR="002075E7">
        <w:rPr>
          <w:b/>
          <w:sz w:val="28"/>
        </w:rPr>
        <w:t>human</w:t>
      </w:r>
      <w:r>
        <w:rPr>
          <w:b/>
          <w:sz w:val="28"/>
        </w:rPr>
        <w:t xml:space="preserve"> health using </w:t>
      </w:r>
      <w:r w:rsidRPr="00BA636E">
        <w:rPr>
          <w:b/>
          <w:i/>
          <w:sz w:val="28"/>
        </w:rPr>
        <w:t>in silico</w:t>
      </w:r>
      <w:r>
        <w:rPr>
          <w:b/>
          <w:sz w:val="28"/>
        </w:rPr>
        <w:t xml:space="preserve"> tools?</w:t>
      </w:r>
    </w:p>
    <w:p w:rsidR="0079561F" w:rsidRPr="00885E90" w:rsidRDefault="0079561F" w:rsidP="00721DA6">
      <w:pPr>
        <w:spacing w:after="0" w:line="480" w:lineRule="auto"/>
        <w:jc w:val="both"/>
        <w:rPr>
          <w:sz w:val="24"/>
        </w:rPr>
      </w:pPr>
    </w:p>
    <w:p w:rsidR="00721DA6" w:rsidRPr="00721DA6" w:rsidRDefault="00721DA6" w:rsidP="00721DA6">
      <w:pPr>
        <w:spacing w:after="0" w:line="480" w:lineRule="auto"/>
        <w:jc w:val="both"/>
        <w:rPr>
          <w:sz w:val="24"/>
          <w:lang w:val="nl-NL"/>
        </w:rPr>
      </w:pPr>
      <w:r w:rsidRPr="00721DA6">
        <w:rPr>
          <w:sz w:val="24"/>
          <w:lang w:val="nl-NL"/>
        </w:rPr>
        <w:t>Melissa Van Bossuyt</w:t>
      </w:r>
      <w:r w:rsidRPr="00721DA6">
        <w:rPr>
          <w:sz w:val="24"/>
          <w:vertAlign w:val="superscript"/>
          <w:lang w:val="nl-NL"/>
        </w:rPr>
        <w:t>1,2*</w:t>
      </w:r>
      <w:r w:rsidRPr="00721DA6">
        <w:rPr>
          <w:sz w:val="24"/>
          <w:lang w:val="nl-NL"/>
        </w:rPr>
        <w:t>, Els Van Hoeck</w:t>
      </w:r>
      <w:r w:rsidRPr="00721DA6">
        <w:rPr>
          <w:sz w:val="24"/>
          <w:vertAlign w:val="superscript"/>
          <w:lang w:val="nl-NL"/>
        </w:rPr>
        <w:t>1</w:t>
      </w:r>
      <w:r w:rsidRPr="00721DA6">
        <w:rPr>
          <w:sz w:val="24"/>
          <w:lang w:val="nl-NL"/>
        </w:rPr>
        <w:t>, Tamara Vanhaecke</w:t>
      </w:r>
      <w:r w:rsidRPr="00721DA6">
        <w:rPr>
          <w:sz w:val="24"/>
          <w:vertAlign w:val="superscript"/>
          <w:lang w:val="nl-NL"/>
        </w:rPr>
        <w:t>2</w:t>
      </w:r>
      <w:r w:rsidRPr="00721DA6">
        <w:rPr>
          <w:sz w:val="24"/>
          <w:lang w:val="nl-NL"/>
        </w:rPr>
        <w:t>, Vera Rogiers</w:t>
      </w:r>
      <w:r w:rsidRPr="00721DA6">
        <w:rPr>
          <w:sz w:val="24"/>
          <w:vertAlign w:val="superscript"/>
          <w:lang w:val="nl-NL"/>
        </w:rPr>
        <w:t>2°</w:t>
      </w:r>
      <w:r>
        <w:rPr>
          <w:sz w:val="24"/>
          <w:lang w:val="nl-NL"/>
        </w:rPr>
        <w:t xml:space="preserve"> and </w:t>
      </w:r>
      <w:r w:rsidRPr="00721DA6">
        <w:rPr>
          <w:sz w:val="24"/>
          <w:lang w:val="nl-NL"/>
        </w:rPr>
        <w:t>Birgit Mertens</w:t>
      </w:r>
      <w:r w:rsidRPr="00721DA6">
        <w:rPr>
          <w:sz w:val="24"/>
          <w:vertAlign w:val="superscript"/>
          <w:lang w:val="nl-NL"/>
        </w:rPr>
        <w:t>1°</w:t>
      </w:r>
    </w:p>
    <w:p w:rsidR="00721DA6" w:rsidRPr="00721DA6" w:rsidRDefault="00721DA6" w:rsidP="00721DA6">
      <w:pPr>
        <w:spacing w:after="0" w:line="480" w:lineRule="auto"/>
        <w:rPr>
          <w:lang w:val="nl-NL"/>
        </w:rPr>
      </w:pPr>
    </w:p>
    <w:p w:rsidR="00721DA6" w:rsidRDefault="00721DA6" w:rsidP="00721DA6">
      <w:pPr>
        <w:spacing w:after="0" w:line="480" w:lineRule="auto"/>
        <w:jc w:val="both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 xml:space="preserve"> Department of Food, Medicines and Consumer Safety, Scientific Institute of Public Health, Juliette Wytsmanstraat 14, Brussels, Belgium</w:t>
      </w:r>
    </w:p>
    <w:p w:rsidR="00721DA6" w:rsidRDefault="00721DA6" w:rsidP="00721DA6">
      <w:pPr>
        <w:spacing w:after="0" w:line="480" w:lineRule="auto"/>
        <w:jc w:val="both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 xml:space="preserve"> </w:t>
      </w:r>
      <w:r w:rsidRPr="00CA2369">
        <w:rPr>
          <w:i/>
        </w:rPr>
        <w:t>Department of In Vitro Toxicology and Dermato-</w:t>
      </w:r>
      <w:r w:rsidR="000D6AEF">
        <w:rPr>
          <w:i/>
        </w:rPr>
        <w:t>C</w:t>
      </w:r>
      <w:r w:rsidRPr="00CA2369">
        <w:rPr>
          <w:i/>
        </w:rPr>
        <w:t xml:space="preserve">osmetology, Vrije Universiteit Brussel, Laarbeeklaan 103, Brussels, Belgium </w:t>
      </w:r>
    </w:p>
    <w:p w:rsidR="00941682" w:rsidRDefault="00941682" w:rsidP="00941682"/>
    <w:p w:rsidR="00941682" w:rsidRPr="00941682" w:rsidRDefault="00941682" w:rsidP="00941682">
      <w:pPr>
        <w:rPr>
          <w:sz w:val="24"/>
        </w:rPr>
      </w:pPr>
      <w:r w:rsidRPr="00941682">
        <w:rPr>
          <w:sz w:val="24"/>
        </w:rPr>
        <w:t>° Equally contributing</w:t>
      </w:r>
      <w:r w:rsidR="00BF3D82">
        <w:rPr>
          <w:sz w:val="24"/>
        </w:rPr>
        <w:t xml:space="preserve"> last</w:t>
      </w:r>
      <w:r w:rsidRPr="00941682">
        <w:rPr>
          <w:sz w:val="24"/>
        </w:rPr>
        <w:t xml:space="preserve"> authors</w:t>
      </w:r>
    </w:p>
    <w:p w:rsidR="00941682" w:rsidRPr="0015502C" w:rsidRDefault="00941682" w:rsidP="00941682">
      <w:pPr>
        <w:rPr>
          <w:sz w:val="24"/>
        </w:rPr>
      </w:pPr>
      <w:r w:rsidRPr="00941682">
        <w:rPr>
          <w:sz w:val="24"/>
        </w:rPr>
        <w:t>*</w:t>
      </w:r>
      <w:r w:rsidRPr="00941682">
        <w:rPr>
          <w:i/>
          <w:sz w:val="24"/>
        </w:rPr>
        <w:t xml:space="preserve"> </w:t>
      </w:r>
      <w:r w:rsidRPr="00941682">
        <w:rPr>
          <w:sz w:val="24"/>
        </w:rPr>
        <w:t xml:space="preserve">Corresponding author. </w:t>
      </w:r>
      <w:r w:rsidRPr="0015502C">
        <w:rPr>
          <w:sz w:val="24"/>
        </w:rPr>
        <w:t>E-mail: Melissa.VanBossuyt@wiv-isp.be</w:t>
      </w:r>
    </w:p>
    <w:p w:rsidR="001709C8" w:rsidRPr="0015502C" w:rsidRDefault="001709C8"/>
    <w:p w:rsidR="001B45BF" w:rsidRDefault="002C6BE4" w:rsidP="001277DF">
      <w:pPr>
        <w:spacing w:after="0" w:line="480" w:lineRule="auto"/>
        <w:jc w:val="both"/>
      </w:pPr>
      <w:r>
        <w:t>During the last years</w:t>
      </w:r>
      <w:r w:rsidR="00AE33B5">
        <w:t>,</w:t>
      </w:r>
      <w:r>
        <w:t xml:space="preserve"> the 3Rs (</w:t>
      </w:r>
      <w:r w:rsidR="001A6584">
        <w:t>Replacement, R</w:t>
      </w:r>
      <w:r>
        <w:t>eduction, Re</w:t>
      </w:r>
      <w:r w:rsidR="001A6584">
        <w:t>fine</w:t>
      </w:r>
      <w:r>
        <w:t>ment) principle is increasingly taken into consideration in setting up integrated testing strategies. As such</w:t>
      </w:r>
      <w:r w:rsidR="001A6584">
        <w:t>,</w:t>
      </w:r>
      <w:r>
        <w:t xml:space="preserve"> </w:t>
      </w:r>
      <w:r w:rsidR="00AE33B5" w:rsidRPr="001E094E">
        <w:rPr>
          <w:i/>
        </w:rPr>
        <w:t>in silico</w:t>
      </w:r>
      <w:r w:rsidR="00AE33B5">
        <w:t xml:space="preserve"> </w:t>
      </w:r>
      <w:r w:rsidR="00A97128">
        <w:t>methods</w:t>
      </w:r>
      <w:r w:rsidR="00AE33B5">
        <w:t xml:space="preserve"> </w:t>
      </w:r>
      <w:r>
        <w:t>received  substantial attention</w:t>
      </w:r>
      <w:r w:rsidR="00293DD3">
        <w:t>, which stimulated</w:t>
      </w:r>
      <w:r>
        <w:t xml:space="preserve"> </w:t>
      </w:r>
      <w:r w:rsidR="00293DD3">
        <w:t xml:space="preserve">their development </w:t>
      </w:r>
      <w:r w:rsidR="005E1429">
        <w:t>and made them become</w:t>
      </w:r>
      <w:r w:rsidR="00293DD3">
        <w:t xml:space="preserve"> </w:t>
      </w:r>
      <w:r w:rsidR="003C569D">
        <w:t xml:space="preserve">more </w:t>
      </w:r>
      <w:r w:rsidR="001E094E">
        <w:t xml:space="preserve">interesting </w:t>
      </w:r>
      <w:r w:rsidR="00AE33B5">
        <w:t xml:space="preserve">for the assessment of chemical hazards. </w:t>
      </w:r>
      <w:r w:rsidR="00640412" w:rsidRPr="00640412">
        <w:rPr>
          <w:i/>
        </w:rPr>
        <w:t>In silico</w:t>
      </w:r>
      <w:r w:rsidR="00640412">
        <w:t xml:space="preserve"> tools are essentially computer models, able to make predictions for a non-evaluated compound based on knowledge extracted from a collection of </w:t>
      </w:r>
      <w:r w:rsidR="00BA108B">
        <w:t xml:space="preserve">structurally-related </w:t>
      </w:r>
      <w:r w:rsidR="00640412">
        <w:t>substances with experimental</w:t>
      </w:r>
      <w:r w:rsidR="00271440">
        <w:t xml:space="preserve"> toxicity</w:t>
      </w:r>
      <w:r w:rsidR="00640412">
        <w:t xml:space="preserve"> data.</w:t>
      </w:r>
      <w:r w:rsidR="00EF76BB">
        <w:t xml:space="preserve"> </w:t>
      </w:r>
      <w:r w:rsidR="0015502C">
        <w:t xml:space="preserve">Progressively </w:t>
      </w:r>
      <w:r w:rsidR="003F14A2">
        <w:t>acknowledged by regulatory bodies,</w:t>
      </w:r>
      <w:r w:rsidR="00A20415">
        <w:t xml:space="preserve"> </w:t>
      </w:r>
      <w:r w:rsidR="00A20415">
        <w:rPr>
          <w:i/>
        </w:rPr>
        <w:t xml:space="preserve">in silico </w:t>
      </w:r>
      <w:r w:rsidR="00A20415">
        <w:t xml:space="preserve">tools are </w:t>
      </w:r>
      <w:r w:rsidR="00DB5D0A">
        <w:t>gaining importance</w:t>
      </w:r>
      <w:r w:rsidR="00EF76BB">
        <w:t xml:space="preserve"> </w:t>
      </w:r>
      <w:r w:rsidR="00820653">
        <w:t>in toxicology</w:t>
      </w:r>
      <w:r w:rsidR="003C569D">
        <w:t xml:space="preserve"> not only as a first tier screening tool, but also </w:t>
      </w:r>
      <w:r w:rsidR="00E96807">
        <w:t xml:space="preserve">for </w:t>
      </w:r>
      <w:r w:rsidR="0092558A">
        <w:t xml:space="preserve">complementing </w:t>
      </w:r>
      <w:r w:rsidR="003C569D" w:rsidRPr="003C569D">
        <w:rPr>
          <w:i/>
        </w:rPr>
        <w:t>in vivo</w:t>
      </w:r>
      <w:r w:rsidR="003C569D">
        <w:t xml:space="preserve"> and </w:t>
      </w:r>
      <w:r w:rsidR="003C569D" w:rsidRPr="003C569D">
        <w:rPr>
          <w:i/>
        </w:rPr>
        <w:t>in vitro</w:t>
      </w:r>
      <w:r w:rsidR="003C569D">
        <w:t xml:space="preserve"> test results</w:t>
      </w:r>
      <w:r>
        <w:t xml:space="preserve"> </w:t>
      </w:r>
      <w:r w:rsidR="00146AE2">
        <w:t>(</w:t>
      </w:r>
      <w:r w:rsidR="005E1429">
        <w:t xml:space="preserve">for example </w:t>
      </w:r>
      <w:proofErr w:type="spellStart"/>
      <w:r w:rsidR="00146AE2">
        <w:t>Buist</w:t>
      </w:r>
      <w:proofErr w:type="spellEnd"/>
      <w:r w:rsidR="00146AE2">
        <w:t xml:space="preserve"> et al. 2013, Nendza et al. 2013, Schilter et al. 2014, Scholz et al. 2013)</w:t>
      </w:r>
      <w:r w:rsidR="00E96807">
        <w:t xml:space="preserve">. </w:t>
      </w:r>
      <w:r w:rsidR="0092558A">
        <w:t>The</w:t>
      </w:r>
      <w:r w:rsidR="003C569D">
        <w:t>ir</w:t>
      </w:r>
      <w:r w:rsidR="0092558A">
        <w:t xml:space="preserve"> widespread </w:t>
      </w:r>
      <w:r w:rsidR="0044021D">
        <w:t>use</w:t>
      </w:r>
      <w:r w:rsidR="00422174">
        <w:t>, however,</w:t>
      </w:r>
      <w:r w:rsidR="0044021D">
        <w:t xml:space="preserve"> </w:t>
      </w:r>
      <w:r w:rsidR="00E35F81">
        <w:t>remains</w:t>
      </w:r>
      <w:r w:rsidR="0092558A">
        <w:t xml:space="preserve"> limited </w:t>
      </w:r>
      <w:r w:rsidR="00E14764">
        <w:t>due to</w:t>
      </w:r>
      <w:r w:rsidR="0092558A">
        <w:t xml:space="preserve"> (</w:t>
      </w:r>
      <w:proofErr w:type="spellStart"/>
      <w:r w:rsidR="0092558A">
        <w:t>i</w:t>
      </w:r>
      <w:proofErr w:type="spellEnd"/>
      <w:r w:rsidR="0092558A">
        <w:t xml:space="preserve">) </w:t>
      </w:r>
      <w:r w:rsidR="0044021D">
        <w:t xml:space="preserve">the </w:t>
      </w:r>
      <w:r w:rsidR="003C569D">
        <w:t xml:space="preserve">non-flexibility of the current </w:t>
      </w:r>
      <w:r w:rsidR="0044021D">
        <w:t>regulatory framework</w:t>
      </w:r>
      <w:r w:rsidR="003C569D">
        <w:t xml:space="preserve">, strictly </w:t>
      </w:r>
      <w:r w:rsidR="0044021D">
        <w:t xml:space="preserve">describing the required </w:t>
      </w:r>
      <w:r w:rsidR="001F5BDB">
        <w:t xml:space="preserve">experimental </w:t>
      </w:r>
      <w:r w:rsidR="0044021D">
        <w:t xml:space="preserve">tests, </w:t>
      </w:r>
      <w:r w:rsidR="0092558A">
        <w:t xml:space="preserve">(ii) </w:t>
      </w:r>
      <w:r w:rsidR="0044021D">
        <w:t xml:space="preserve">the oversupply of computer models </w:t>
      </w:r>
      <w:r w:rsidR="00B320A8">
        <w:t xml:space="preserve">while </w:t>
      </w:r>
      <w:r w:rsidR="009F7E72">
        <w:t xml:space="preserve">often </w:t>
      </w:r>
      <w:r w:rsidR="002D18B5">
        <w:t xml:space="preserve">uncertainty </w:t>
      </w:r>
      <w:r w:rsidR="00313CC0">
        <w:t>exists</w:t>
      </w:r>
      <w:r w:rsidR="002D18B5">
        <w:t xml:space="preserve"> </w:t>
      </w:r>
      <w:r w:rsidR="009F7E72">
        <w:t xml:space="preserve">as to which </w:t>
      </w:r>
      <w:r w:rsidR="0044021D">
        <w:t>model</w:t>
      </w:r>
      <w:r w:rsidR="00AD23F8">
        <w:t xml:space="preserve"> </w:t>
      </w:r>
      <w:r w:rsidR="002D18B5">
        <w:t>(</w:t>
      </w:r>
      <w:r w:rsidR="009F7E72">
        <w:t>combination</w:t>
      </w:r>
      <w:r w:rsidR="002D18B5">
        <w:t>)</w:t>
      </w:r>
      <w:r w:rsidR="0044021D">
        <w:t xml:space="preserve"> </w:t>
      </w:r>
      <w:r w:rsidR="009F7E72">
        <w:t xml:space="preserve">is most suitable to assess </w:t>
      </w:r>
      <w:r w:rsidR="0044021D">
        <w:t xml:space="preserve">a </w:t>
      </w:r>
      <w:r w:rsidR="00DD66A0">
        <w:t xml:space="preserve">given </w:t>
      </w:r>
      <w:r w:rsidR="00CF7262">
        <w:t>(type of) substance</w:t>
      </w:r>
      <w:r w:rsidR="00734954">
        <w:t xml:space="preserve"> for a </w:t>
      </w:r>
      <w:r w:rsidR="00DD66A0">
        <w:t xml:space="preserve">particular </w:t>
      </w:r>
      <w:r w:rsidR="00734954">
        <w:lastRenderedPageBreak/>
        <w:t>endpoint</w:t>
      </w:r>
      <w:r w:rsidR="0044021D">
        <w:t xml:space="preserve">, and </w:t>
      </w:r>
      <w:r w:rsidR="0092558A">
        <w:t>(iii) the</w:t>
      </w:r>
      <w:r>
        <w:t xml:space="preserve"> rather </w:t>
      </w:r>
      <w:r w:rsidR="0044021D">
        <w:t xml:space="preserve">poor predictive capacity for </w:t>
      </w:r>
      <w:r w:rsidR="0071120C">
        <w:t xml:space="preserve">toxicological </w:t>
      </w:r>
      <w:r w:rsidR="0044021D">
        <w:t>endpoints other than Ames mutagenicity</w:t>
      </w:r>
      <w:r w:rsidR="00D21569">
        <w:t xml:space="preserve"> (</w:t>
      </w:r>
      <w:r w:rsidR="000B42D7">
        <w:t>Barber</w:t>
      </w:r>
      <w:r w:rsidR="00234B3E">
        <w:t xml:space="preserve"> and Myatt 2016).</w:t>
      </w:r>
    </w:p>
    <w:p w:rsidR="00EC1525" w:rsidRDefault="00422174" w:rsidP="001277DF">
      <w:pPr>
        <w:spacing w:after="0" w:line="480" w:lineRule="auto"/>
        <w:jc w:val="both"/>
      </w:pPr>
      <w:r>
        <w:t>Therefore</w:t>
      </w:r>
      <w:r w:rsidR="001B45BF">
        <w:t xml:space="preserve">, </w:t>
      </w:r>
      <w:r w:rsidR="00ED5087">
        <w:t xml:space="preserve">the most promising application of </w:t>
      </w:r>
      <w:r w:rsidR="00ED5087" w:rsidRPr="001B45BF">
        <w:rPr>
          <w:i/>
        </w:rPr>
        <w:t>in silico</w:t>
      </w:r>
      <w:r w:rsidR="00ED5087">
        <w:t xml:space="preserve"> tools </w:t>
      </w:r>
      <w:r w:rsidR="003C569D">
        <w:t xml:space="preserve">today </w:t>
      </w:r>
      <w:r w:rsidR="00ED5087">
        <w:t xml:space="preserve">remains </w:t>
      </w:r>
      <w:r w:rsidR="007C259E">
        <w:t>its use</w:t>
      </w:r>
      <w:r w:rsidR="00ED5087">
        <w:t xml:space="preserve"> </w:t>
      </w:r>
      <w:r w:rsidR="00276B20">
        <w:t xml:space="preserve">in </w:t>
      </w:r>
      <w:r w:rsidR="00ED5087">
        <w:t>priority setting</w:t>
      </w:r>
      <w:r w:rsidR="0071120C">
        <w:t xml:space="preserve"> upon screening of a large number of compounds</w:t>
      </w:r>
      <w:r w:rsidR="00ED5087">
        <w:t xml:space="preserve">. </w:t>
      </w:r>
      <w:r w:rsidR="003C569D">
        <w:t xml:space="preserve"> The general public is </w:t>
      </w:r>
      <w:r w:rsidR="00ED5087">
        <w:t xml:space="preserve">exposed, intentionally </w:t>
      </w:r>
      <w:r w:rsidR="003C569D">
        <w:t>or not</w:t>
      </w:r>
      <w:r w:rsidR="00ED5087">
        <w:t xml:space="preserve">, to a large </w:t>
      </w:r>
      <w:r w:rsidR="003C569D">
        <w:t xml:space="preserve">variety of different substances, </w:t>
      </w:r>
      <w:r w:rsidR="007510EE">
        <w:t>sometimes</w:t>
      </w:r>
      <w:r w:rsidR="003C569D">
        <w:t xml:space="preserve"> not or </w:t>
      </w:r>
      <w:r w:rsidR="002C6BE4">
        <w:t xml:space="preserve">not </w:t>
      </w:r>
      <w:r w:rsidR="003C569D">
        <w:t xml:space="preserve">recently </w:t>
      </w:r>
      <w:r w:rsidR="00ED5087">
        <w:t>evaluated</w:t>
      </w:r>
      <w:r w:rsidR="003428E2">
        <w:t xml:space="preserve"> for their safety</w:t>
      </w:r>
      <w:r w:rsidR="003C569D">
        <w:t>. Environmental pollutants or food contaminants</w:t>
      </w:r>
      <w:r w:rsidR="00C93443">
        <w:t xml:space="preserve"> are evident examples</w:t>
      </w:r>
      <w:r w:rsidR="007510EE">
        <w:t xml:space="preserve"> of non-intentional exposure to predominantly non-evaluated substances</w:t>
      </w:r>
      <w:r w:rsidR="00ED5087">
        <w:t xml:space="preserve">. A </w:t>
      </w:r>
      <w:r w:rsidR="00C93443">
        <w:t>detailed characterization of the</w:t>
      </w:r>
      <w:r w:rsidR="00ED5087">
        <w:t xml:space="preserve"> complete toxicological profile of all these substances is not feasible</w:t>
      </w:r>
      <w:r w:rsidR="00C93443">
        <w:t xml:space="preserve"> from an economic and ethical (animal welfare) point of view</w:t>
      </w:r>
      <w:r w:rsidR="00ED5087">
        <w:t xml:space="preserve">. </w:t>
      </w:r>
      <w:r w:rsidR="004D79D9" w:rsidRPr="00B353E3">
        <w:rPr>
          <w:i/>
        </w:rPr>
        <w:t>In silico</w:t>
      </w:r>
      <w:r w:rsidR="004D79D9">
        <w:t xml:space="preserve"> tools</w:t>
      </w:r>
      <w:r w:rsidR="00C93443">
        <w:t xml:space="preserve">, however, </w:t>
      </w:r>
      <w:r w:rsidR="004D79D9">
        <w:t xml:space="preserve">can </w:t>
      </w:r>
      <w:r w:rsidR="003428E2">
        <w:t>provide</w:t>
      </w:r>
      <w:r w:rsidR="004D79D9">
        <w:t xml:space="preserve"> </w:t>
      </w:r>
      <w:r w:rsidR="003428E2">
        <w:t>substantial help</w:t>
      </w:r>
      <w:r w:rsidR="00C93443">
        <w:t xml:space="preserve"> in </w:t>
      </w:r>
      <w:r w:rsidR="004D79D9">
        <w:t>assign</w:t>
      </w:r>
      <w:r w:rsidR="005F277F">
        <w:t>ing</w:t>
      </w:r>
      <w:r w:rsidR="004D79D9">
        <w:t xml:space="preserve"> priority to those substances for which </w:t>
      </w:r>
      <w:r w:rsidR="0071120C">
        <w:t>a comprehensive safety evaluation</w:t>
      </w:r>
      <w:r w:rsidR="00CC0F97">
        <w:t xml:space="preserve"> is most urgently needed</w:t>
      </w:r>
      <w:r w:rsidR="00737B2D">
        <w:t>.</w:t>
      </w:r>
      <w:r w:rsidR="004D79D9">
        <w:t xml:space="preserve"> </w:t>
      </w:r>
    </w:p>
    <w:p w:rsidR="005829E4" w:rsidRDefault="00734954" w:rsidP="001277DF">
      <w:pPr>
        <w:spacing w:after="0" w:line="480" w:lineRule="auto"/>
        <w:jc w:val="both"/>
      </w:pPr>
      <w:r>
        <w:t xml:space="preserve">In a recent study, </w:t>
      </w:r>
      <w:r w:rsidR="00334E78">
        <w:t xml:space="preserve">we </w:t>
      </w:r>
      <w:r w:rsidR="00E35F81">
        <w:t xml:space="preserve">illustrated </w:t>
      </w:r>
      <w:r w:rsidR="00640C6D">
        <w:t xml:space="preserve">the </w:t>
      </w:r>
      <w:r w:rsidR="00E35F81">
        <w:t xml:space="preserve">potential of </w:t>
      </w:r>
      <w:r w:rsidR="00E35F81" w:rsidRPr="00013122">
        <w:rPr>
          <w:i/>
        </w:rPr>
        <w:t>in silico</w:t>
      </w:r>
      <w:r w:rsidR="00E35F81">
        <w:t xml:space="preserve"> tools for </w:t>
      </w:r>
      <w:r>
        <w:t>such</w:t>
      </w:r>
      <w:r w:rsidR="0023648C">
        <w:t xml:space="preserve"> </w:t>
      </w:r>
      <w:r w:rsidR="00E35F81">
        <w:t xml:space="preserve">priority setting in the field of </w:t>
      </w:r>
      <w:r w:rsidR="00F502F3">
        <w:t>paper and board</w:t>
      </w:r>
      <w:r w:rsidR="00E35F81">
        <w:t xml:space="preserve"> food contact materials (FCM)</w:t>
      </w:r>
      <w:r w:rsidR="00013122">
        <w:t>.</w:t>
      </w:r>
      <w:r w:rsidR="00E35F81">
        <w:t xml:space="preserve"> </w:t>
      </w:r>
      <w:r w:rsidR="00451CB8">
        <w:t xml:space="preserve">Paper and board FCM, like other </w:t>
      </w:r>
      <w:r w:rsidR="002D18B5">
        <w:t xml:space="preserve">non-plastic </w:t>
      </w:r>
      <w:r w:rsidR="00451CB8">
        <w:t>FCM</w:t>
      </w:r>
      <w:r w:rsidR="00D14127">
        <w:t>s</w:t>
      </w:r>
      <w:r w:rsidR="00451CB8">
        <w:t>, can contain a large number of non-evaluated substances</w:t>
      </w:r>
      <w:r w:rsidR="006C1DF2">
        <w:t xml:space="preserve"> </w:t>
      </w:r>
      <w:r w:rsidR="001277DF">
        <w:t>(</w:t>
      </w:r>
      <w:r w:rsidR="000B42D7">
        <w:t>European Parliament</w:t>
      </w:r>
      <w:r w:rsidR="0012030D">
        <w:t xml:space="preserve"> 2016,</w:t>
      </w:r>
      <w:r w:rsidR="006C1DF2">
        <w:t xml:space="preserve"> </w:t>
      </w:r>
      <w:r w:rsidR="001277DF">
        <w:t>Liu et al. 20</w:t>
      </w:r>
      <w:r w:rsidR="0012030D">
        <w:t>16,</w:t>
      </w:r>
      <w:r w:rsidR="00E14764">
        <w:t xml:space="preserve"> Muncke et al. 2014</w:t>
      </w:r>
      <w:r w:rsidR="0012030D">
        <w:t>,</w:t>
      </w:r>
      <w:r w:rsidR="005829E4">
        <w:t xml:space="preserve"> Van Bossuyt et al. 2016</w:t>
      </w:r>
      <w:r w:rsidR="00E14764">
        <w:t>)</w:t>
      </w:r>
      <w:r w:rsidR="001277DF">
        <w:t xml:space="preserve">. </w:t>
      </w:r>
      <w:r w:rsidR="00032613">
        <w:t>S</w:t>
      </w:r>
      <w:r w:rsidR="001277DF">
        <w:t xml:space="preserve">everal food crises have </w:t>
      </w:r>
      <w:r>
        <w:t>confirme</w:t>
      </w:r>
      <w:r w:rsidR="001277DF">
        <w:t xml:space="preserve">d that </w:t>
      </w:r>
      <w:r w:rsidR="007133D9">
        <w:t>FCM</w:t>
      </w:r>
      <w:r w:rsidR="00032613">
        <w:t xml:space="preserve"> substances</w:t>
      </w:r>
      <w:r w:rsidR="001277DF">
        <w:t xml:space="preserve"> can migrate into food and drinks, subsequently causing unwanted exposure of the consumer to </w:t>
      </w:r>
      <w:r w:rsidR="00C51635">
        <w:t>potentially harmful</w:t>
      </w:r>
      <w:r w:rsidR="001277DF">
        <w:t xml:space="preserve"> substances (European Commission 2016</w:t>
      </w:r>
      <w:r w:rsidR="0012030D">
        <w:t>,</w:t>
      </w:r>
      <w:r w:rsidR="001277DF">
        <w:t xml:space="preserve"> EFSA 2011). As a result, </w:t>
      </w:r>
      <w:r w:rsidR="00C51635">
        <w:t xml:space="preserve">health </w:t>
      </w:r>
      <w:r w:rsidR="001277DF">
        <w:t xml:space="preserve">concerns </w:t>
      </w:r>
      <w:r w:rsidR="00F502F3">
        <w:t xml:space="preserve">have been </w:t>
      </w:r>
      <w:r w:rsidR="001277DF">
        <w:t xml:space="preserve">raised </w:t>
      </w:r>
      <w:r w:rsidR="00C51635">
        <w:t>which</w:t>
      </w:r>
      <w:r w:rsidR="00F502F3">
        <w:t xml:space="preserve"> are justified</w:t>
      </w:r>
      <w:r w:rsidR="001277DF">
        <w:t xml:space="preserve"> especially since </w:t>
      </w:r>
      <w:r w:rsidR="00F502F3">
        <w:t>migration from FCM</w:t>
      </w:r>
      <w:r w:rsidR="001277DF">
        <w:t xml:space="preserve"> is estimated to be the main source of food contamination, quantitatively exceeding most others</w:t>
      </w:r>
      <w:r w:rsidR="003428E2">
        <w:t xml:space="preserve"> - </w:t>
      </w:r>
      <w:r w:rsidR="001277DF">
        <w:t>including pesticide residues</w:t>
      </w:r>
      <w:r w:rsidR="003428E2">
        <w:t xml:space="preserve"> -</w:t>
      </w:r>
      <w:r w:rsidR="001277DF">
        <w:t xml:space="preserve"> by a factor of 100-1000 (Grob et al. 2006).</w:t>
      </w:r>
      <w:r w:rsidR="00403A6E" w:rsidRPr="00403A6E">
        <w:t xml:space="preserve"> </w:t>
      </w:r>
    </w:p>
    <w:p w:rsidR="001277DF" w:rsidRDefault="00B66522" w:rsidP="001277DF">
      <w:pPr>
        <w:spacing w:after="0" w:line="480" w:lineRule="auto"/>
        <w:jc w:val="both"/>
      </w:pPr>
      <w:r>
        <w:t xml:space="preserve">The study focused on </w:t>
      </w:r>
      <w:r w:rsidR="00D14127">
        <w:t xml:space="preserve">Ames </w:t>
      </w:r>
      <w:r>
        <w:t>m</w:t>
      </w:r>
      <w:r w:rsidR="000B2608">
        <w:t>utagenicity</w:t>
      </w:r>
      <w:r>
        <w:t xml:space="preserve">, </w:t>
      </w:r>
      <w:r w:rsidR="000B2608">
        <w:t>an important toxicological endp</w:t>
      </w:r>
      <w:r w:rsidR="002C6BE4">
        <w:t xml:space="preserve">oint related to </w:t>
      </w:r>
      <w:r w:rsidR="00D14127">
        <w:t xml:space="preserve">serious adverse health effects including </w:t>
      </w:r>
      <w:r w:rsidR="002C6BE4">
        <w:t>carcinogenicity</w:t>
      </w:r>
      <w:r w:rsidR="00C93443">
        <w:t xml:space="preserve">. </w:t>
      </w:r>
      <w:r>
        <w:t>Furthermore, f</w:t>
      </w:r>
      <w:r w:rsidR="00C93443">
        <w:t xml:space="preserve">or </w:t>
      </w:r>
      <w:r w:rsidR="00D14127">
        <w:t xml:space="preserve">Ames </w:t>
      </w:r>
      <w:r w:rsidR="002C6BE4">
        <w:t>mutagenicity</w:t>
      </w:r>
      <w:r w:rsidR="003428E2">
        <w:t>,</w:t>
      </w:r>
      <w:r w:rsidR="002C6BE4">
        <w:t xml:space="preserve"> </w:t>
      </w:r>
      <w:r w:rsidR="000B2608">
        <w:t xml:space="preserve">a number of valid </w:t>
      </w:r>
      <w:r w:rsidR="000B2608">
        <w:rPr>
          <w:i/>
        </w:rPr>
        <w:t>in silico</w:t>
      </w:r>
      <w:r w:rsidR="000B2608">
        <w:t xml:space="preserve"> models are available to make</w:t>
      </w:r>
      <w:r w:rsidR="002C6BE4">
        <w:t xml:space="preserve"> </w:t>
      </w:r>
      <w:r w:rsidR="003428E2">
        <w:t>substantiat</w:t>
      </w:r>
      <w:r w:rsidR="002C6BE4">
        <w:t>e</w:t>
      </w:r>
      <w:r w:rsidR="003428E2">
        <w:t>d</w:t>
      </w:r>
      <w:r w:rsidR="002C6BE4">
        <w:t xml:space="preserve"> </w:t>
      </w:r>
      <w:r w:rsidR="000B2608">
        <w:t xml:space="preserve">predictions. </w:t>
      </w:r>
      <w:r>
        <w:t>F</w:t>
      </w:r>
      <w:r w:rsidR="0092558A" w:rsidRPr="0092558A">
        <w:t>our different</w:t>
      </w:r>
      <w:r>
        <w:t xml:space="preserve"> available</w:t>
      </w:r>
      <w:r w:rsidR="0092558A" w:rsidRPr="0092558A">
        <w:t xml:space="preserve"> </w:t>
      </w:r>
      <w:r w:rsidR="0092558A" w:rsidRPr="00013122">
        <w:rPr>
          <w:i/>
        </w:rPr>
        <w:t>in silico</w:t>
      </w:r>
      <w:r w:rsidR="0092558A" w:rsidRPr="0092558A">
        <w:t xml:space="preserve"> tools </w:t>
      </w:r>
      <w:r w:rsidR="00F502F3">
        <w:t xml:space="preserve">were used </w:t>
      </w:r>
      <w:r w:rsidR="0092558A" w:rsidRPr="0092558A">
        <w:t xml:space="preserve">to select </w:t>
      </w:r>
      <w:r w:rsidR="00C93443">
        <w:t xml:space="preserve">currently </w:t>
      </w:r>
      <w:r w:rsidR="0092558A" w:rsidRPr="0092558A">
        <w:t xml:space="preserve">non-evaluated printed paper and board </w:t>
      </w:r>
      <w:r w:rsidR="00F502F3">
        <w:t>FCM</w:t>
      </w:r>
      <w:r w:rsidR="0092558A" w:rsidRPr="0092558A">
        <w:t xml:space="preserve"> substances </w:t>
      </w:r>
      <w:r w:rsidR="002C6BE4">
        <w:t xml:space="preserve">that most likely </w:t>
      </w:r>
      <w:r w:rsidR="0092558A" w:rsidRPr="0092558A">
        <w:t xml:space="preserve">exhibit </w:t>
      </w:r>
      <w:r w:rsidR="002C6BE4">
        <w:t>mutagenic properties</w:t>
      </w:r>
      <w:r w:rsidR="0092558A" w:rsidRPr="0092558A">
        <w:t xml:space="preserve"> (Van Bossuyt et al.</w:t>
      </w:r>
      <w:r w:rsidR="005829E4">
        <w:t>,</w:t>
      </w:r>
      <w:r w:rsidR="0092558A" w:rsidRPr="0092558A">
        <w:t xml:space="preserve"> </w:t>
      </w:r>
      <w:r w:rsidR="0012030D">
        <w:t>under review</w:t>
      </w:r>
      <w:r w:rsidR="0092558A" w:rsidRPr="0092558A">
        <w:t xml:space="preserve">). </w:t>
      </w:r>
      <w:r w:rsidR="00077243">
        <w:t>In particular t</w:t>
      </w:r>
      <w:r w:rsidR="00403A6E">
        <w:t xml:space="preserve">he </w:t>
      </w:r>
      <w:r w:rsidR="0023237D">
        <w:t>substances identified as</w:t>
      </w:r>
      <w:r w:rsidR="00077243">
        <w:t xml:space="preserve"> being of </w:t>
      </w:r>
      <w:r w:rsidR="00403A6E">
        <w:t xml:space="preserve">‘highest priority’ need </w:t>
      </w:r>
      <w:r w:rsidR="00077243">
        <w:t xml:space="preserve">immediate </w:t>
      </w:r>
      <w:r w:rsidR="00C93443">
        <w:t xml:space="preserve">further </w:t>
      </w:r>
      <w:r w:rsidR="00077243">
        <w:t>investigation</w:t>
      </w:r>
      <w:r w:rsidR="00403A6E">
        <w:t xml:space="preserve">. </w:t>
      </w:r>
      <w:r w:rsidR="00F502F3">
        <w:t xml:space="preserve">By identifying </w:t>
      </w:r>
      <w:r w:rsidR="000007F2">
        <w:t>substances</w:t>
      </w:r>
      <w:r w:rsidR="00F502F3">
        <w:t xml:space="preserve"> of highest concern</w:t>
      </w:r>
      <w:r w:rsidR="006E6F72">
        <w:t>,</w:t>
      </w:r>
      <w:r w:rsidR="00077243">
        <w:t xml:space="preserve"> </w:t>
      </w:r>
      <w:r w:rsidR="006E6F72">
        <w:t xml:space="preserve">the </w:t>
      </w:r>
      <w:r w:rsidR="00403A6E">
        <w:t xml:space="preserve">resources </w:t>
      </w:r>
      <w:r w:rsidR="00077243">
        <w:t xml:space="preserve">available </w:t>
      </w:r>
      <w:r w:rsidR="00403A6E">
        <w:t xml:space="preserve">for experimental testing can be </w:t>
      </w:r>
      <w:r w:rsidR="00403A6E">
        <w:lastRenderedPageBreak/>
        <w:t xml:space="preserve">attributed </w:t>
      </w:r>
      <w:r w:rsidR="00077243">
        <w:t xml:space="preserve">in a more efficient way. Indeed, it </w:t>
      </w:r>
      <w:r w:rsidR="00403A6E">
        <w:t>would be impossible to carry out elaborate toxicological investigations for hundreds of chemicals in the course of an acceptable time span.</w:t>
      </w:r>
    </w:p>
    <w:p w:rsidR="007C30FE" w:rsidRDefault="00513D5F" w:rsidP="00E36AF6">
      <w:pPr>
        <w:spacing w:after="0" w:line="480" w:lineRule="auto"/>
        <w:jc w:val="both"/>
      </w:pPr>
      <w:r>
        <w:t xml:space="preserve">Similarly, </w:t>
      </w:r>
      <w:r w:rsidRPr="00017F22">
        <w:rPr>
          <w:i/>
        </w:rPr>
        <w:t>in silico</w:t>
      </w:r>
      <w:r>
        <w:t xml:space="preserve"> tools can be of particular interest to screen </w:t>
      </w:r>
      <w:r w:rsidR="00077243">
        <w:t>‘non-intentio</w:t>
      </w:r>
      <w:r>
        <w:t>nally added substances’ (NIAS) migrating from FCM</w:t>
      </w:r>
      <w:r w:rsidR="00403A6E">
        <w:t xml:space="preserve">. </w:t>
      </w:r>
      <w:r>
        <w:t xml:space="preserve">These </w:t>
      </w:r>
      <w:r w:rsidR="00403A6E">
        <w:t>NIAS include</w:t>
      </w:r>
      <w:r w:rsidR="003C2E23">
        <w:t xml:space="preserve"> impurities, oligomers</w:t>
      </w:r>
      <w:r w:rsidR="00D66008">
        <w:t xml:space="preserve"> and </w:t>
      </w:r>
      <w:r w:rsidR="003C2E23">
        <w:t>degrada</w:t>
      </w:r>
      <w:r w:rsidR="00D66008">
        <w:t>tion products</w:t>
      </w:r>
      <w:r w:rsidR="0012030D">
        <w:t xml:space="preserve"> (Muncke 2011,</w:t>
      </w:r>
      <w:r w:rsidR="003C2E23">
        <w:t xml:space="preserve"> Nerin et al. 2016). NIAS typically represent the larger part of the migrants and their</w:t>
      </w:r>
      <w:r w:rsidR="00445E88">
        <w:t xml:space="preserve"> exact</w:t>
      </w:r>
      <w:r w:rsidR="003C2E23">
        <w:t xml:space="preserve"> composition is </w:t>
      </w:r>
      <w:r w:rsidR="00D66008">
        <w:t xml:space="preserve">often </w:t>
      </w:r>
      <w:r w:rsidR="00AA6FDD">
        <w:t>un</w:t>
      </w:r>
      <w:r w:rsidR="003C2E23">
        <w:t>known (Grob 2014).</w:t>
      </w:r>
      <w:r w:rsidR="003C2E23" w:rsidRPr="005A0432">
        <w:t xml:space="preserve"> </w:t>
      </w:r>
      <w:r w:rsidR="00007036">
        <w:t xml:space="preserve">In this context, we recently reported </w:t>
      </w:r>
      <w:r w:rsidR="00E21185">
        <w:t xml:space="preserve">on the use </w:t>
      </w:r>
      <w:r w:rsidR="00E21185" w:rsidRPr="00F44C3D">
        <w:t xml:space="preserve">of </w:t>
      </w:r>
      <w:r w:rsidR="00007036" w:rsidRPr="00F44C3D">
        <w:rPr>
          <w:i/>
        </w:rPr>
        <w:t>in silico</w:t>
      </w:r>
      <w:r w:rsidR="00007036" w:rsidRPr="00F44C3D">
        <w:t xml:space="preserve"> tools</w:t>
      </w:r>
      <w:r w:rsidR="00516929">
        <w:t xml:space="preserve"> as part of a strategy</w:t>
      </w:r>
      <w:r w:rsidR="00007036" w:rsidRPr="00F44C3D">
        <w:t xml:space="preserve"> </w:t>
      </w:r>
      <w:r w:rsidR="00007036">
        <w:t xml:space="preserve">to identify </w:t>
      </w:r>
      <w:r w:rsidR="0075714A">
        <w:t xml:space="preserve">non-authorized </w:t>
      </w:r>
      <w:r w:rsidR="00007036">
        <w:t xml:space="preserve">chemicals of </w:t>
      </w:r>
      <w:r w:rsidR="00D06FBB">
        <w:t>genotoxic</w:t>
      </w:r>
      <w:r w:rsidR="00007036">
        <w:t xml:space="preserve"> concern </w:t>
      </w:r>
      <w:r w:rsidR="008D66F6">
        <w:t>found</w:t>
      </w:r>
      <w:r w:rsidR="00E21185">
        <w:t xml:space="preserve"> </w:t>
      </w:r>
      <w:r w:rsidR="00516929">
        <w:t>to migrate</w:t>
      </w:r>
      <w:r w:rsidR="00007036">
        <w:t xml:space="preserve"> from </w:t>
      </w:r>
      <w:r w:rsidR="00553EAE">
        <w:t>plastic baby bottles</w:t>
      </w:r>
      <w:r w:rsidR="007D1EA2">
        <w:t xml:space="preserve"> </w:t>
      </w:r>
      <w:r w:rsidR="00BD3101">
        <w:t xml:space="preserve">used as alternative to </w:t>
      </w:r>
      <w:proofErr w:type="spellStart"/>
      <w:r w:rsidR="00BD3101">
        <w:t>bisphenol</w:t>
      </w:r>
      <w:proofErr w:type="spellEnd"/>
      <w:r w:rsidR="00BD3101">
        <w:t xml:space="preserve"> A-containing polycarbonate baby bottles </w:t>
      </w:r>
      <w:r w:rsidR="007D1EA2">
        <w:t>(Mertens et al. 2016)</w:t>
      </w:r>
      <w:r w:rsidR="00007036">
        <w:t xml:space="preserve">. </w:t>
      </w:r>
      <w:r w:rsidR="00BD3101">
        <w:t>Also i</w:t>
      </w:r>
      <w:r w:rsidR="001E39C1">
        <w:t xml:space="preserve">n </w:t>
      </w:r>
      <w:r w:rsidR="00BD3101">
        <w:t xml:space="preserve">this </w:t>
      </w:r>
      <w:r w:rsidR="001E39C1">
        <w:t>case stud</w:t>
      </w:r>
      <w:r w:rsidR="00BD3101">
        <w:t>y</w:t>
      </w:r>
      <w:r w:rsidR="001E39C1">
        <w:t xml:space="preserve">, the importance of </w:t>
      </w:r>
      <w:r w:rsidR="001E39C1" w:rsidRPr="00AA381A">
        <w:rPr>
          <w:i/>
        </w:rPr>
        <w:t>in silico</w:t>
      </w:r>
      <w:r w:rsidR="001E39C1">
        <w:t xml:space="preserve"> tools for prioritization of </w:t>
      </w:r>
      <w:r w:rsidR="00B36145">
        <w:t>FCM</w:t>
      </w:r>
      <w:r w:rsidR="001E39C1">
        <w:t xml:space="preserve"> substances</w:t>
      </w:r>
      <w:r w:rsidR="00D66008">
        <w:t xml:space="preserve"> </w:t>
      </w:r>
      <w:r w:rsidR="00BD3101">
        <w:t>was clearly</w:t>
      </w:r>
      <w:r w:rsidR="00D66008">
        <w:t xml:space="preserve"> demonstrated</w:t>
      </w:r>
      <w:r w:rsidR="00AA381A">
        <w:t xml:space="preserve">. </w:t>
      </w:r>
      <w:r w:rsidR="00077243">
        <w:t xml:space="preserve"> </w:t>
      </w:r>
    </w:p>
    <w:p w:rsidR="00693CF5" w:rsidRPr="00480F97" w:rsidRDefault="00553EAE" w:rsidP="00E36AF6">
      <w:pPr>
        <w:spacing w:after="0" w:line="480" w:lineRule="auto"/>
        <w:jc w:val="both"/>
      </w:pPr>
      <w:r>
        <w:t>This prioritiz</w:t>
      </w:r>
      <w:r w:rsidR="00077243">
        <w:t xml:space="preserve">ation strategy based on </w:t>
      </w:r>
      <w:r w:rsidR="00077243" w:rsidRPr="00077243">
        <w:rPr>
          <w:i/>
        </w:rPr>
        <w:t>in silico</w:t>
      </w:r>
      <w:r w:rsidR="00077243">
        <w:t xml:space="preserve"> methodology </w:t>
      </w:r>
      <w:r w:rsidR="007C30FE">
        <w:t xml:space="preserve">can </w:t>
      </w:r>
      <w:r w:rsidR="00077243">
        <w:t>also</w:t>
      </w:r>
      <w:r>
        <w:t xml:space="preserve"> be</w:t>
      </w:r>
      <w:r w:rsidR="00077243">
        <w:t xml:space="preserve"> </w:t>
      </w:r>
      <w:r w:rsidR="00BD3101">
        <w:t>applied</w:t>
      </w:r>
      <w:r w:rsidR="001E39C1">
        <w:t xml:space="preserve"> in </w:t>
      </w:r>
      <w:r w:rsidR="00077243">
        <w:t xml:space="preserve">several </w:t>
      </w:r>
      <w:r w:rsidR="001E39C1">
        <w:t>other domains</w:t>
      </w:r>
      <w:r w:rsidR="00AA381A">
        <w:t xml:space="preserve"> where there is </w:t>
      </w:r>
      <w:r w:rsidR="007C30FE">
        <w:t xml:space="preserve">a </w:t>
      </w:r>
      <w:r w:rsidR="00AA381A">
        <w:t xml:space="preserve">need to identify </w:t>
      </w:r>
      <w:r w:rsidR="007C30FE">
        <w:t xml:space="preserve">priority substances </w:t>
      </w:r>
      <w:r w:rsidR="00AA381A">
        <w:t xml:space="preserve">requiring </w:t>
      </w:r>
      <w:r w:rsidR="00F0378B">
        <w:t>(</w:t>
      </w:r>
      <w:proofErr w:type="spellStart"/>
      <w:r w:rsidR="00F0378B">
        <w:t>geno</w:t>
      </w:r>
      <w:proofErr w:type="spellEnd"/>
      <w:r w:rsidR="00F0378B">
        <w:t>)</w:t>
      </w:r>
      <w:r w:rsidR="00AA381A">
        <w:t>toxicological evaluation</w:t>
      </w:r>
      <w:r w:rsidR="00D86EF6">
        <w:t>.</w:t>
      </w:r>
      <w:r w:rsidR="00AA381A">
        <w:t xml:space="preserve"> </w:t>
      </w:r>
      <w:r w:rsidR="00D515F4">
        <w:t>Actual</w:t>
      </w:r>
      <w:r w:rsidR="00226F4D">
        <w:t xml:space="preserve"> examples</w:t>
      </w:r>
      <w:r w:rsidR="00D86EF6">
        <w:t xml:space="preserve"> </w:t>
      </w:r>
      <w:r w:rsidR="002D7A11">
        <w:t>include</w:t>
      </w:r>
      <w:r w:rsidR="001E39C1">
        <w:t xml:space="preserve"> </w:t>
      </w:r>
      <w:r w:rsidR="009E65B9">
        <w:t>compounds</w:t>
      </w:r>
      <w:r w:rsidR="009C741A">
        <w:t xml:space="preserve"> used in tattoo inks</w:t>
      </w:r>
      <w:r w:rsidR="007C30FE">
        <w:t xml:space="preserve">, </w:t>
      </w:r>
      <w:r w:rsidR="009C741A">
        <w:t>permanent make-up,</w:t>
      </w:r>
      <w:r w:rsidR="007C30FE">
        <w:t xml:space="preserve"> </w:t>
      </w:r>
      <w:r>
        <w:t>printed</w:t>
      </w:r>
      <w:r w:rsidR="007C30FE">
        <w:t xml:space="preserve"> baby napkins and  sanitary towels, </w:t>
      </w:r>
      <w:r w:rsidR="009C741A">
        <w:t>medical devices</w:t>
      </w:r>
      <w:r w:rsidR="00226F4D">
        <w:t>,</w:t>
      </w:r>
      <w:r w:rsidR="009C741A">
        <w:t xml:space="preserve"> </w:t>
      </w:r>
      <w:r w:rsidR="00226F4D">
        <w:t>textile products and nanomaterials</w:t>
      </w:r>
      <w:r w:rsidR="009C741A">
        <w:t xml:space="preserve">. </w:t>
      </w:r>
      <w:r w:rsidR="007C30FE">
        <w:t>In all these cases, human h</w:t>
      </w:r>
      <w:r w:rsidR="00562FFE">
        <w:t>ealth safeguarding can be realiz</w:t>
      </w:r>
      <w:r w:rsidR="007C30FE">
        <w:t xml:space="preserve">ed already to some extent without the use of experimental </w:t>
      </w:r>
      <w:r w:rsidR="00562FFE">
        <w:t>(</w:t>
      </w:r>
      <w:r w:rsidR="007C30FE">
        <w:t>animal</w:t>
      </w:r>
      <w:r w:rsidR="00562FFE">
        <w:t xml:space="preserve">) </w:t>
      </w:r>
      <w:r w:rsidR="007C30FE">
        <w:t>s</w:t>
      </w:r>
      <w:r w:rsidR="00562FFE">
        <w:t>ystems</w:t>
      </w:r>
      <w:r w:rsidR="007C30FE">
        <w:t>.</w:t>
      </w:r>
    </w:p>
    <w:p w:rsidR="00D511E6" w:rsidRDefault="00D511E6" w:rsidP="00E36AF6">
      <w:pPr>
        <w:spacing w:after="0" w:line="480" w:lineRule="auto"/>
        <w:jc w:val="both"/>
        <w:sectPr w:rsidR="00D511E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132FAC" w:rsidRPr="00670F18" w:rsidRDefault="009005E0" w:rsidP="00132FAC">
      <w:pPr>
        <w:rPr>
          <w:b/>
          <w:sz w:val="24"/>
          <w:lang w:val="en-US"/>
        </w:rPr>
      </w:pPr>
      <w:r w:rsidRPr="00670F18">
        <w:rPr>
          <w:b/>
          <w:sz w:val="24"/>
          <w:lang w:val="en-US"/>
        </w:rPr>
        <w:lastRenderedPageBreak/>
        <w:t>References</w:t>
      </w:r>
    </w:p>
    <w:p w:rsidR="004E318C" w:rsidRPr="00670F18" w:rsidRDefault="004E318C" w:rsidP="004E318C">
      <w:pPr>
        <w:spacing w:after="0" w:line="480" w:lineRule="auto"/>
        <w:rPr>
          <w:lang w:val="en-US"/>
        </w:rPr>
      </w:pPr>
    </w:p>
    <w:p w:rsidR="00234B3E" w:rsidRDefault="00234B3E" w:rsidP="004E318C">
      <w:pPr>
        <w:spacing w:after="0" w:line="480" w:lineRule="auto"/>
        <w:rPr>
          <w:i/>
        </w:rPr>
      </w:pPr>
      <w:r>
        <w:t>Barber, C.G. and Myatt, G.J. (ed.), 2016</w:t>
      </w:r>
      <w:r w:rsidR="006833DD">
        <w:t>.</w:t>
      </w:r>
      <w:r>
        <w:t xml:space="preserve"> </w:t>
      </w:r>
      <w:r w:rsidRPr="00234B3E">
        <w:rPr>
          <w:i/>
        </w:rPr>
        <w:t xml:space="preserve">17th International Conference on QSAR in Environmental </w:t>
      </w:r>
    </w:p>
    <w:p w:rsidR="00234B3E" w:rsidRPr="00234B3E" w:rsidRDefault="00234B3E" w:rsidP="00234B3E">
      <w:pPr>
        <w:spacing w:after="0" w:line="480" w:lineRule="auto"/>
        <w:ind w:left="720"/>
        <w:rPr>
          <w:i/>
        </w:rPr>
      </w:pPr>
      <w:r w:rsidRPr="00234B3E">
        <w:rPr>
          <w:i/>
        </w:rPr>
        <w:t>and Health Sciences (QSAR 2016)</w:t>
      </w:r>
      <w:r>
        <w:rPr>
          <w:i/>
        </w:rPr>
        <w:t xml:space="preserve">, </w:t>
      </w:r>
      <w:r w:rsidRPr="00234B3E">
        <w:t>conference proceedings</w:t>
      </w:r>
      <w:r>
        <w:t>, 13-17 June, Miami Beach, USA, SAR QSAR Environ</w:t>
      </w:r>
      <w:r w:rsidR="00217289">
        <w:t>.</w:t>
      </w:r>
      <w:r>
        <w:t xml:space="preserve"> Res</w:t>
      </w:r>
      <w:r w:rsidR="00217289">
        <w:t>. 27</w:t>
      </w:r>
      <w:r w:rsidR="006833DD">
        <w:t>, 781-</w:t>
      </w:r>
      <w:r w:rsidR="00376DC3">
        <w:t>948</w:t>
      </w:r>
      <w:r w:rsidR="006833DD">
        <w:t xml:space="preserve"> [Special edition]</w:t>
      </w:r>
      <w:r w:rsidR="00217289">
        <w:t xml:space="preserve"> </w:t>
      </w:r>
    </w:p>
    <w:p w:rsidR="000771FB" w:rsidRPr="00E05B52" w:rsidRDefault="000771FB" w:rsidP="004E318C">
      <w:pPr>
        <w:spacing w:after="0" w:line="480" w:lineRule="auto"/>
      </w:pPr>
      <w:r w:rsidRPr="00E05B52">
        <w:t xml:space="preserve">Buist, H., Aldenberg, T., Batke, M., Escher, S., Klein Entink, R., Kühne, R., Marquart, H., Pauné, H., </w:t>
      </w:r>
    </w:p>
    <w:p w:rsidR="000771FB" w:rsidRPr="000771FB" w:rsidRDefault="000771FB" w:rsidP="000771FB">
      <w:pPr>
        <w:spacing w:after="0" w:line="480" w:lineRule="auto"/>
        <w:ind w:left="720"/>
      </w:pPr>
      <w:r>
        <w:rPr>
          <w:lang w:val="nl-NL"/>
        </w:rPr>
        <w:t xml:space="preserve">Rorije, E., Schüürmann, G., Kroese, D., 2013. </w:t>
      </w:r>
      <w:r w:rsidRPr="000771FB">
        <w:t xml:space="preserve">The OSIRIS Weight of Evidence approach: ITS mutagenicity and ITS carcinogenicity. </w:t>
      </w:r>
      <w:r>
        <w:t xml:space="preserve">Regul. Tox. Pharm. 67, 170-181. </w:t>
      </w:r>
      <w:hyperlink r:id="rId6" w:history="1">
        <w:r w:rsidRPr="00FF7052">
          <w:rPr>
            <w:rStyle w:val="Hyperlink"/>
          </w:rPr>
          <w:t>http://dx.doi.org/10.1016/j.yrtph.2013.01.002</w:t>
        </w:r>
      </w:hyperlink>
      <w:r>
        <w:t xml:space="preserve"> </w:t>
      </w:r>
    </w:p>
    <w:p w:rsidR="00206919" w:rsidRDefault="00206919" w:rsidP="00206919">
      <w:pPr>
        <w:spacing w:after="0" w:line="480" w:lineRule="auto"/>
      </w:pPr>
      <w:r>
        <w:t xml:space="preserve">EFSA, 2011. </w:t>
      </w:r>
      <w:r w:rsidRPr="00206919">
        <w:t>Report of ESCO WG on Non-plastic Food Contact Materials. Available</w:t>
      </w:r>
      <w:r>
        <w:t xml:space="preserve"> </w:t>
      </w:r>
      <w:r w:rsidRPr="00206919">
        <w:t xml:space="preserve">from: </w:t>
      </w:r>
    </w:p>
    <w:p w:rsidR="00206919" w:rsidRPr="00206919" w:rsidRDefault="00206919" w:rsidP="00206919">
      <w:pPr>
        <w:spacing w:after="0" w:line="480" w:lineRule="auto"/>
        <w:ind w:firstLine="720"/>
      </w:pPr>
      <w:r>
        <w:t>h</w:t>
      </w:r>
      <w:r w:rsidRPr="00206919">
        <w:t>ttp://www.efsa.europa.eu/sites/default/files/scientific_output/files/</w:t>
      </w:r>
    </w:p>
    <w:p w:rsidR="00206919" w:rsidRPr="00206919" w:rsidRDefault="00206919" w:rsidP="00206919">
      <w:pPr>
        <w:spacing w:after="0" w:line="480" w:lineRule="auto"/>
        <w:ind w:firstLine="720"/>
        <w:rPr>
          <w:lang w:val="fr-FR"/>
        </w:rPr>
      </w:pPr>
      <w:proofErr w:type="spellStart"/>
      <w:r w:rsidRPr="00206919">
        <w:rPr>
          <w:lang w:val="fr-FR"/>
        </w:rPr>
        <w:t>main_documents</w:t>
      </w:r>
      <w:proofErr w:type="spellEnd"/>
      <w:r w:rsidRPr="00206919">
        <w:rPr>
          <w:lang w:val="fr-FR"/>
        </w:rPr>
        <w:t>/139e.pd</w:t>
      </w:r>
      <w:r>
        <w:rPr>
          <w:lang w:val="fr-FR"/>
        </w:rPr>
        <w:t>f</w:t>
      </w:r>
    </w:p>
    <w:p w:rsidR="002A4A06" w:rsidRPr="00D73B37" w:rsidRDefault="002A4A06" w:rsidP="002A4A06">
      <w:pPr>
        <w:spacing w:after="0" w:line="480" w:lineRule="auto"/>
        <w:rPr>
          <w:lang w:val="fr-FR"/>
        </w:rPr>
      </w:pPr>
      <w:proofErr w:type="spellStart"/>
      <w:r w:rsidRPr="007133D9">
        <w:rPr>
          <w:lang w:val="fr-FR"/>
        </w:rPr>
        <w:t>European</w:t>
      </w:r>
      <w:proofErr w:type="spellEnd"/>
      <w:r w:rsidRPr="007133D9">
        <w:rPr>
          <w:lang w:val="fr-FR"/>
        </w:rPr>
        <w:t xml:space="preserve"> Commission, 2016. </w:t>
      </w:r>
      <w:r w:rsidRPr="002A4A06">
        <w:t xml:space="preserve">Rapid Alert System in Food and Feed. </w:t>
      </w:r>
      <w:r w:rsidRPr="00BB74E0">
        <w:rPr>
          <w:lang w:val="fr-BE"/>
        </w:rPr>
        <w:t>Available fr</w:t>
      </w:r>
      <w:r w:rsidRPr="00D73B37">
        <w:rPr>
          <w:lang w:val="fr-FR"/>
        </w:rPr>
        <w:t>om:</w:t>
      </w:r>
    </w:p>
    <w:p w:rsidR="002A4A06" w:rsidRPr="00D73B37" w:rsidRDefault="00F3580B" w:rsidP="002A4A06">
      <w:pPr>
        <w:spacing w:after="0" w:line="480" w:lineRule="auto"/>
        <w:ind w:firstLine="720"/>
        <w:rPr>
          <w:lang w:val="fr-FR"/>
        </w:rPr>
      </w:pPr>
      <w:hyperlink r:id="rId7" w:history="1">
        <w:r w:rsidR="00F13E07" w:rsidRPr="005A4C6E">
          <w:rPr>
            <w:rStyle w:val="Hyperlink"/>
            <w:lang w:val="fr-FR"/>
          </w:rPr>
          <w:t>http://ec.europa.eu/food/safety/rasff/portal/index_en.htm</w:t>
        </w:r>
      </w:hyperlink>
      <w:r w:rsidR="00F13E07">
        <w:rPr>
          <w:lang w:val="fr-FR"/>
        </w:rPr>
        <w:t xml:space="preserve"> </w:t>
      </w:r>
    </w:p>
    <w:p w:rsidR="004E318C" w:rsidRDefault="004E318C" w:rsidP="004E318C">
      <w:pPr>
        <w:spacing w:after="0" w:line="480" w:lineRule="auto"/>
      </w:pPr>
      <w:r w:rsidRPr="00D73B37">
        <w:t xml:space="preserve">European Parliament, 2016. </w:t>
      </w:r>
      <w:r w:rsidRPr="00330E69">
        <w:t xml:space="preserve">Food Contact Materials - How to Ensure Food Safety and Technological </w:t>
      </w:r>
    </w:p>
    <w:p w:rsidR="004E318C" w:rsidRDefault="004E318C" w:rsidP="004E318C">
      <w:pPr>
        <w:spacing w:after="0" w:line="480" w:lineRule="auto"/>
        <w:ind w:left="720"/>
      </w:pPr>
      <w:r w:rsidRPr="00330E69">
        <w:t>Innovation in the Future?</w:t>
      </w:r>
      <w:r>
        <w:t xml:space="preserve"> Available from: </w:t>
      </w:r>
      <w:hyperlink r:id="rId8" w:history="1">
        <w:r w:rsidR="007F12AF" w:rsidRPr="005A4C6E">
          <w:rPr>
            <w:rStyle w:val="Hyperlink"/>
          </w:rPr>
          <w:t>http://www.europarl.europa.eu/RegData/etudes/STUD/2016/578967/IPOL_STU(2016)578967_EN.pdf</w:t>
        </w:r>
      </w:hyperlink>
      <w:r w:rsidR="007F12AF">
        <w:t xml:space="preserve"> </w:t>
      </w:r>
    </w:p>
    <w:p w:rsidR="00FB736A" w:rsidRDefault="00FB736A" w:rsidP="00FB736A">
      <w:pPr>
        <w:spacing w:after="0" w:line="480" w:lineRule="auto"/>
      </w:pPr>
      <w:r w:rsidRPr="00FB736A">
        <w:rPr>
          <w:lang w:val="nl-NL"/>
        </w:rPr>
        <w:t xml:space="preserve">Grob, K., Biedermann, M., Scherbaum, E., Roth, M., Rieger, K., 2006. </w:t>
      </w:r>
      <w:r>
        <w:t xml:space="preserve">Food contamination with </w:t>
      </w:r>
    </w:p>
    <w:p w:rsidR="00FB736A" w:rsidRPr="003E281D" w:rsidRDefault="00FB736A" w:rsidP="00FB736A">
      <w:pPr>
        <w:spacing w:after="0" w:line="480" w:lineRule="auto"/>
        <w:ind w:left="720"/>
      </w:pPr>
      <w:r>
        <w:t xml:space="preserve">organic </w:t>
      </w:r>
      <w:r>
        <w:tab/>
        <w:t xml:space="preserve">materials in perspective: packaging materials as the largest and least controlled source? A view focusing on the European situation. Cri. Rev. Food Sci. </w:t>
      </w:r>
      <w:r w:rsidRPr="003E281D">
        <w:t>Nutr. 46</w:t>
      </w:r>
      <w:r>
        <w:t xml:space="preserve">, </w:t>
      </w:r>
      <w:r w:rsidRPr="003E281D">
        <w:t xml:space="preserve">529-535. </w:t>
      </w:r>
      <w:hyperlink r:id="rId9" w:history="1">
        <w:r w:rsidRPr="003E281D">
          <w:rPr>
            <w:rStyle w:val="Hyperlink"/>
          </w:rPr>
          <w:t>http://dx.doi.org/10.1080/10408390500295490</w:t>
        </w:r>
      </w:hyperlink>
      <w:r w:rsidRPr="003E281D">
        <w:t xml:space="preserve"> </w:t>
      </w:r>
    </w:p>
    <w:p w:rsidR="00B65A11" w:rsidRDefault="00B65A11" w:rsidP="00B65A11">
      <w:pPr>
        <w:spacing w:after="0" w:line="480" w:lineRule="auto"/>
      </w:pPr>
      <w:r>
        <w:t xml:space="preserve">Grob, K., 2014. Work plans to get out of the deadlock for the safety assurance of migration from </w:t>
      </w:r>
    </w:p>
    <w:p w:rsidR="00B65A11" w:rsidRDefault="00B65A11" w:rsidP="00B65A11">
      <w:pPr>
        <w:spacing w:after="0" w:line="480" w:lineRule="auto"/>
      </w:pPr>
      <w:r>
        <w:tab/>
        <w:t>food contact materials? A proposal. Food Control 46</w:t>
      </w:r>
      <w:r w:rsidR="00FB736A">
        <w:t xml:space="preserve">, </w:t>
      </w:r>
      <w:r>
        <w:t xml:space="preserve">312-318. </w:t>
      </w:r>
      <w:r>
        <w:tab/>
      </w:r>
      <w:hyperlink r:id="rId10" w:history="1">
        <w:r w:rsidRPr="000B76EA">
          <w:rPr>
            <w:rStyle w:val="Hyperlink"/>
          </w:rPr>
          <w:t>http://dx.doi.org/10.1016/j.foodcont.2014.05.044</w:t>
        </w:r>
      </w:hyperlink>
      <w:r>
        <w:t xml:space="preserve"> </w:t>
      </w:r>
    </w:p>
    <w:p w:rsidR="00CA725F" w:rsidRDefault="00CA725F" w:rsidP="00CA725F">
      <w:pPr>
        <w:spacing w:after="0" w:line="480" w:lineRule="auto"/>
      </w:pPr>
      <w:r w:rsidRPr="008A1C40">
        <w:rPr>
          <w:lang w:val="fr-FR"/>
        </w:rPr>
        <w:t xml:space="preserve">Liu, R., Lin, Y., Hu, F., Liu, R., Ruan, T., Jiang, G., 2016. </w:t>
      </w:r>
      <w:r>
        <w:t>Observation of emerging photoinitiator</w:t>
      </w:r>
    </w:p>
    <w:p w:rsidR="00CA725F" w:rsidRPr="00253047" w:rsidRDefault="00CA725F" w:rsidP="00CA725F">
      <w:pPr>
        <w:spacing w:after="0" w:line="480" w:lineRule="auto"/>
        <w:ind w:firstLine="720"/>
        <w:rPr>
          <w:lang w:val="fr-FR"/>
        </w:rPr>
      </w:pPr>
      <w:r>
        <w:lastRenderedPageBreak/>
        <w:t>additives in household environment and sewage s</w:t>
      </w:r>
      <w:r w:rsidRPr="00340F3F">
        <w:t>ludge in China.</w:t>
      </w:r>
      <w:r>
        <w:t xml:space="preserve"> </w:t>
      </w:r>
      <w:r w:rsidRPr="00253047">
        <w:rPr>
          <w:lang w:val="fr-FR"/>
        </w:rPr>
        <w:t>Environ. Sci. Technol. 50,</w:t>
      </w:r>
    </w:p>
    <w:p w:rsidR="00CA725F" w:rsidRPr="00542169" w:rsidRDefault="00CA725F" w:rsidP="00CA725F">
      <w:pPr>
        <w:spacing w:after="0" w:line="480" w:lineRule="auto"/>
        <w:ind w:firstLine="720"/>
        <w:rPr>
          <w:lang w:val="fr-FR"/>
        </w:rPr>
      </w:pPr>
      <w:r w:rsidRPr="00253047">
        <w:rPr>
          <w:lang w:val="fr-FR"/>
        </w:rPr>
        <w:t xml:space="preserve">97-104. </w:t>
      </w:r>
      <w:hyperlink r:id="rId11" w:history="1">
        <w:r w:rsidR="000E7F94" w:rsidRPr="00542169">
          <w:rPr>
            <w:rStyle w:val="Hyperlink"/>
            <w:lang w:val="fr-FR"/>
          </w:rPr>
          <w:t>http://dx.doi.org/10.1021/acs.est.5b04977</w:t>
        </w:r>
      </w:hyperlink>
      <w:r w:rsidR="000E7F94" w:rsidRPr="00542169">
        <w:rPr>
          <w:lang w:val="fr-FR"/>
        </w:rPr>
        <w:t xml:space="preserve"> </w:t>
      </w:r>
    </w:p>
    <w:p w:rsidR="007D1EA2" w:rsidRDefault="007D1EA2" w:rsidP="007D1EA2">
      <w:pPr>
        <w:spacing w:after="0" w:line="480" w:lineRule="auto"/>
        <w:rPr>
          <w:lang w:val="nl-NL"/>
        </w:rPr>
      </w:pPr>
      <w:r w:rsidRPr="007D1EA2">
        <w:rPr>
          <w:lang w:val="nl-NL"/>
        </w:rPr>
        <w:t xml:space="preserve">Mertens, B., Simon, C., Van Bossuyt, M., Onghena, M., Vandermarken, T., Van Langenhove, K., </w:t>
      </w:r>
    </w:p>
    <w:p w:rsidR="007D1EA2" w:rsidRDefault="007D1EA2" w:rsidP="007D1EA2">
      <w:pPr>
        <w:spacing w:after="0" w:line="480" w:lineRule="auto"/>
        <w:ind w:left="720"/>
      </w:pPr>
      <w:r w:rsidRPr="007D1EA2">
        <w:rPr>
          <w:lang w:val="nl-NL"/>
        </w:rPr>
        <w:t xml:space="preserve">Demaegdt, H., Van Hoeck, E., Van Loco, J., Vandermeiren, K., Covaci, A., Scippo, M-L., Elskens, M., Verschaeve, L., 2016. </w:t>
      </w:r>
      <w:r w:rsidRPr="007D1EA2">
        <w:t>Investigation of the genotoxicity of substances migrating from polycarbonate</w:t>
      </w:r>
      <w:r>
        <w:t xml:space="preserve"> </w:t>
      </w:r>
      <w:r w:rsidRPr="007D1EA2">
        <w:t>replacement baby bottles to identify chemicals of high concern</w:t>
      </w:r>
      <w:r>
        <w:t xml:space="preserve">. Food Chem. Toxicol. 89, 126-137. </w:t>
      </w:r>
      <w:hyperlink r:id="rId12" w:history="1">
        <w:r w:rsidRPr="00840A63">
          <w:rPr>
            <w:rStyle w:val="Hyperlink"/>
          </w:rPr>
          <w:t>http://dx.doi.org/10.1016/j.fct.2016.01.009</w:t>
        </w:r>
      </w:hyperlink>
      <w:r>
        <w:t xml:space="preserve"> </w:t>
      </w:r>
    </w:p>
    <w:p w:rsidR="000E7F94" w:rsidRPr="004F19C9" w:rsidRDefault="000E7F94" w:rsidP="000E7F94">
      <w:pPr>
        <w:spacing w:after="0" w:line="480" w:lineRule="auto"/>
        <w:rPr>
          <w:lang w:val="nl-NL"/>
        </w:rPr>
      </w:pPr>
      <w:r>
        <w:t xml:space="preserve">Muncke, J., 2011. Endocrine disrupting chemicals and other substances of concern in food contact </w:t>
      </w:r>
      <w:r>
        <w:tab/>
        <w:t xml:space="preserve">materials: An updated review of exposure, effect and risk assessment. </w:t>
      </w:r>
      <w:r w:rsidRPr="00D73B37">
        <w:rPr>
          <w:lang w:val="nl-NL"/>
        </w:rPr>
        <w:t>J. S</w:t>
      </w:r>
      <w:r w:rsidR="00FB736A" w:rsidRPr="00D73B37">
        <w:rPr>
          <w:lang w:val="nl-NL"/>
        </w:rPr>
        <w:t xml:space="preserve">teroid Biochem. </w:t>
      </w:r>
      <w:r w:rsidR="00FB736A" w:rsidRPr="00D73B37">
        <w:rPr>
          <w:lang w:val="nl-NL"/>
        </w:rPr>
        <w:tab/>
        <w:t xml:space="preserve">Mol. Biol. 127, </w:t>
      </w:r>
      <w:r w:rsidRPr="00D73B37">
        <w:rPr>
          <w:lang w:val="nl-NL"/>
        </w:rPr>
        <w:t xml:space="preserve">118-127. </w:t>
      </w:r>
      <w:hyperlink r:id="rId13" w:history="1">
        <w:r w:rsidR="00050155" w:rsidRPr="005C334F">
          <w:rPr>
            <w:rStyle w:val="Hyperlink"/>
            <w:lang w:val="nl-NL"/>
          </w:rPr>
          <w:t>http://dx.doi.org/10.1016/j.jsbmb.2010.10.004</w:t>
        </w:r>
      </w:hyperlink>
      <w:r w:rsidRPr="004F19C9">
        <w:rPr>
          <w:lang w:val="nl-NL"/>
        </w:rPr>
        <w:t xml:space="preserve"> </w:t>
      </w:r>
    </w:p>
    <w:p w:rsidR="00CA725F" w:rsidRDefault="00CA725F" w:rsidP="00CA725F">
      <w:pPr>
        <w:spacing w:after="0" w:line="480" w:lineRule="auto"/>
      </w:pPr>
      <w:r>
        <w:t>Muncke, J., Myers, J.P., Scheringer, M., Porta, M., 2014. Food packaging and migration of food</w:t>
      </w:r>
    </w:p>
    <w:p w:rsidR="00CA725F" w:rsidRPr="00C1748B" w:rsidRDefault="00CA725F" w:rsidP="00CA725F">
      <w:pPr>
        <w:spacing w:after="0" w:line="480" w:lineRule="auto"/>
        <w:ind w:left="720"/>
      </w:pPr>
      <w:r>
        <w:t xml:space="preserve">contact materials: will epidemiologists rise to the neotoxic challenge? </w:t>
      </w:r>
      <w:r w:rsidRPr="001941C6">
        <w:t>J</w:t>
      </w:r>
      <w:r>
        <w:t>.</w:t>
      </w:r>
      <w:r w:rsidRPr="001941C6">
        <w:t xml:space="preserve"> Epidemiol</w:t>
      </w:r>
      <w:r>
        <w:t>. Comm</w:t>
      </w:r>
      <w:r w:rsidR="000E7F94">
        <w:t xml:space="preserve">unity Health. 0, 1–3. </w:t>
      </w:r>
      <w:hyperlink r:id="rId14" w:history="1">
        <w:r w:rsidR="000E7F94" w:rsidRPr="00A77EEE">
          <w:rPr>
            <w:rStyle w:val="Hyperlink"/>
          </w:rPr>
          <w:t>http://dx.doi.org/10.1136/jech-2013-202593</w:t>
        </w:r>
      </w:hyperlink>
      <w:r w:rsidR="000E7F94">
        <w:t xml:space="preserve"> </w:t>
      </w:r>
    </w:p>
    <w:p w:rsidR="006E51C7" w:rsidRDefault="000771FB" w:rsidP="000E7F94">
      <w:pPr>
        <w:spacing w:after="0" w:line="480" w:lineRule="auto"/>
        <w:jc w:val="both"/>
      </w:pPr>
      <w:r w:rsidRPr="000771FB">
        <w:t>Nendza, M., Gabbert, S., Kühne, R., Lombardo, A.,</w:t>
      </w:r>
      <w:r>
        <w:t xml:space="preserve"> Roncaglioni, A., Benfenati, E., Benigni, R., Bossa, </w:t>
      </w:r>
    </w:p>
    <w:p w:rsidR="000771FB" w:rsidRPr="000771FB" w:rsidRDefault="000771FB" w:rsidP="006E51C7">
      <w:pPr>
        <w:spacing w:after="0" w:line="480" w:lineRule="auto"/>
        <w:ind w:left="720"/>
        <w:jc w:val="both"/>
      </w:pPr>
      <w:r>
        <w:t xml:space="preserve">C., Strempel, S., Scheringer, M., Fernández, A., Rallo, R., Giralt, F., Dimitrov, S., Mekenyan, O., Bringezu, F., Schüürmann, G., 2013. A comparative survey of chemistry-driven in silico methods to identify hazardous substances under REACH. Regul. Tox. Pharm. 66, 301-314. </w:t>
      </w:r>
      <w:hyperlink r:id="rId15" w:history="1">
        <w:r w:rsidR="006E51C7" w:rsidRPr="00FF7052">
          <w:rPr>
            <w:rStyle w:val="Hyperlink"/>
          </w:rPr>
          <w:t>http://dx.doi.org/10.1016/j.yrtph.2013.05.007</w:t>
        </w:r>
      </w:hyperlink>
      <w:r w:rsidR="006E51C7">
        <w:t xml:space="preserve"> </w:t>
      </w:r>
    </w:p>
    <w:p w:rsidR="006E51C7" w:rsidRDefault="006E51C7" w:rsidP="00206919">
      <w:pPr>
        <w:spacing w:after="0" w:line="480" w:lineRule="auto"/>
        <w:jc w:val="both"/>
      </w:pPr>
      <w:proofErr w:type="spellStart"/>
      <w:r w:rsidRPr="006E51C7">
        <w:t>Schilter</w:t>
      </w:r>
      <w:proofErr w:type="spellEnd"/>
      <w:r w:rsidRPr="006E51C7">
        <w:t>, B., Benigni, R., Boobis, A., Chiodini, A., Cockburn, A.,</w:t>
      </w:r>
      <w:r>
        <w:t xml:space="preserve"> Cronin, M.T.D., Lo Piparo, E., Modi, S., </w:t>
      </w:r>
    </w:p>
    <w:p w:rsidR="006E51C7" w:rsidRDefault="006E51C7" w:rsidP="006E51C7">
      <w:pPr>
        <w:spacing w:after="0" w:line="480" w:lineRule="auto"/>
        <w:ind w:left="720"/>
        <w:jc w:val="both"/>
      </w:pPr>
      <w:r>
        <w:t xml:space="preserve">Thiel, A., Worth, A., 2014. </w:t>
      </w:r>
      <w:r w:rsidRPr="006E51C7">
        <w:t>Establishing the level of safety concern for chemicals in food without the need for toxicity testing.</w:t>
      </w:r>
      <w:r>
        <w:t xml:space="preserve"> Regul. Tox. Pharm., 68, 275-296. </w:t>
      </w:r>
      <w:hyperlink r:id="rId16" w:history="1">
        <w:r w:rsidRPr="00FF7052">
          <w:rPr>
            <w:rStyle w:val="Hyperlink"/>
          </w:rPr>
          <w:t>http://dx.doi.org/10.1016/j.yrtph.2013.08.018</w:t>
        </w:r>
      </w:hyperlink>
      <w:r>
        <w:t xml:space="preserve"> </w:t>
      </w:r>
    </w:p>
    <w:p w:rsidR="006E51C7" w:rsidRDefault="006E51C7" w:rsidP="006E51C7">
      <w:pPr>
        <w:spacing w:after="0" w:line="480" w:lineRule="auto"/>
        <w:jc w:val="both"/>
      </w:pPr>
      <w:r>
        <w:t>Scholz,</w:t>
      </w:r>
      <w:r w:rsidRPr="006E51C7">
        <w:t xml:space="preserve"> </w:t>
      </w:r>
      <w:r>
        <w:t>S.</w:t>
      </w:r>
      <w:r w:rsidRPr="006E51C7">
        <w:t>, Sela</w:t>
      </w:r>
      <w:r>
        <w:t>,</w:t>
      </w:r>
      <w:r w:rsidRPr="006E51C7">
        <w:t xml:space="preserve"> E</w:t>
      </w:r>
      <w:r>
        <w:t>.</w:t>
      </w:r>
      <w:r w:rsidRPr="006E51C7">
        <w:t>, Blaha</w:t>
      </w:r>
      <w:r>
        <w:t>,</w:t>
      </w:r>
      <w:r w:rsidRPr="006E51C7">
        <w:t xml:space="preserve"> L</w:t>
      </w:r>
      <w:r>
        <w:t>.</w:t>
      </w:r>
      <w:r w:rsidRPr="006E51C7">
        <w:t>, Braunbeck</w:t>
      </w:r>
      <w:r>
        <w:t>,</w:t>
      </w:r>
      <w:r w:rsidRPr="006E51C7">
        <w:t xml:space="preserve"> T</w:t>
      </w:r>
      <w:r>
        <w:t>.</w:t>
      </w:r>
      <w:r w:rsidRPr="006E51C7">
        <w:t>, Galay-Burgos</w:t>
      </w:r>
      <w:r>
        <w:t>,</w:t>
      </w:r>
      <w:r w:rsidRPr="006E51C7">
        <w:t xml:space="preserve"> M</w:t>
      </w:r>
      <w:r>
        <w:t>.</w:t>
      </w:r>
      <w:r w:rsidRPr="006E51C7">
        <w:t>, García-Franco</w:t>
      </w:r>
      <w:r>
        <w:t>,</w:t>
      </w:r>
      <w:r w:rsidRPr="006E51C7">
        <w:t xml:space="preserve"> M</w:t>
      </w:r>
      <w:r>
        <w:t>.</w:t>
      </w:r>
      <w:r w:rsidRPr="006E51C7">
        <w:t>, Guinea</w:t>
      </w:r>
      <w:r>
        <w:t>,</w:t>
      </w:r>
      <w:r w:rsidRPr="006E51C7">
        <w:t xml:space="preserve"> J</w:t>
      </w:r>
      <w:r>
        <w:t>.</w:t>
      </w:r>
      <w:r w:rsidRPr="006E51C7">
        <w:t>, Klüver</w:t>
      </w:r>
      <w:r>
        <w:t>,</w:t>
      </w:r>
      <w:r w:rsidRPr="006E51C7">
        <w:t xml:space="preserve"> </w:t>
      </w:r>
    </w:p>
    <w:p w:rsidR="006E51C7" w:rsidRPr="003C569D" w:rsidRDefault="006E51C7" w:rsidP="00385216">
      <w:pPr>
        <w:spacing w:after="0" w:line="480" w:lineRule="auto"/>
        <w:ind w:left="720"/>
        <w:jc w:val="both"/>
        <w:rPr>
          <w:lang w:val="nl-BE"/>
        </w:rPr>
      </w:pPr>
      <w:r w:rsidRPr="006E51C7">
        <w:t>N</w:t>
      </w:r>
      <w:r>
        <w:t>.</w:t>
      </w:r>
      <w:r w:rsidRPr="006E51C7">
        <w:t>, Schirmer</w:t>
      </w:r>
      <w:r>
        <w:t>,</w:t>
      </w:r>
      <w:r w:rsidRPr="006E51C7">
        <w:t xml:space="preserve"> K</w:t>
      </w:r>
      <w:r>
        <w:t>.</w:t>
      </w:r>
      <w:r w:rsidRPr="006E51C7">
        <w:t>, Tanneberger</w:t>
      </w:r>
      <w:r>
        <w:t>,</w:t>
      </w:r>
      <w:r w:rsidRPr="006E51C7">
        <w:t xml:space="preserve"> K</w:t>
      </w:r>
      <w:r>
        <w:t>.</w:t>
      </w:r>
      <w:r w:rsidRPr="006E51C7">
        <w:t>, Tobor-Kapłon</w:t>
      </w:r>
      <w:r>
        <w:t>,</w:t>
      </w:r>
      <w:r w:rsidRPr="006E51C7">
        <w:t xml:space="preserve"> M</w:t>
      </w:r>
      <w:r>
        <w:t>.</w:t>
      </w:r>
      <w:r w:rsidRPr="006E51C7">
        <w:t>, Witters</w:t>
      </w:r>
      <w:r>
        <w:t>,</w:t>
      </w:r>
      <w:r w:rsidRPr="006E51C7">
        <w:t xml:space="preserve"> H</w:t>
      </w:r>
      <w:r>
        <w:t>.</w:t>
      </w:r>
      <w:r w:rsidRPr="006E51C7">
        <w:t>, Belanger</w:t>
      </w:r>
      <w:r>
        <w:t>,</w:t>
      </w:r>
      <w:r w:rsidRPr="006E51C7">
        <w:t xml:space="preserve"> S</w:t>
      </w:r>
      <w:r>
        <w:t>.</w:t>
      </w:r>
      <w:r w:rsidRPr="006E51C7">
        <w:t>, Benfenati</w:t>
      </w:r>
      <w:r>
        <w:t>,</w:t>
      </w:r>
      <w:r w:rsidRPr="006E51C7">
        <w:t xml:space="preserve"> E</w:t>
      </w:r>
      <w:r>
        <w:t>.</w:t>
      </w:r>
      <w:r w:rsidRPr="006E51C7">
        <w:t>, Creton</w:t>
      </w:r>
      <w:r>
        <w:t>,</w:t>
      </w:r>
      <w:r w:rsidRPr="006E51C7">
        <w:t xml:space="preserve"> S</w:t>
      </w:r>
      <w:r>
        <w:t>.</w:t>
      </w:r>
      <w:r w:rsidRPr="006E51C7">
        <w:t>, Cronin</w:t>
      </w:r>
      <w:r>
        <w:t>,</w:t>
      </w:r>
      <w:r w:rsidRPr="006E51C7">
        <w:t xml:space="preserve"> M</w:t>
      </w:r>
      <w:r>
        <w:t>.</w:t>
      </w:r>
      <w:r w:rsidRPr="006E51C7">
        <w:t>T</w:t>
      </w:r>
      <w:r>
        <w:t>.</w:t>
      </w:r>
      <w:r w:rsidRPr="006E51C7">
        <w:t>, Eggen</w:t>
      </w:r>
      <w:r>
        <w:t>,</w:t>
      </w:r>
      <w:r w:rsidRPr="006E51C7">
        <w:t xml:space="preserve"> R</w:t>
      </w:r>
      <w:r>
        <w:t>.</w:t>
      </w:r>
      <w:r w:rsidRPr="006E51C7">
        <w:t>I</w:t>
      </w:r>
      <w:r>
        <w:t>.</w:t>
      </w:r>
      <w:r w:rsidRPr="006E51C7">
        <w:t>, Embry</w:t>
      </w:r>
      <w:r>
        <w:t>,</w:t>
      </w:r>
      <w:r w:rsidRPr="006E51C7">
        <w:t xml:space="preserve"> M</w:t>
      </w:r>
      <w:r>
        <w:t>.</w:t>
      </w:r>
      <w:r w:rsidRPr="006E51C7">
        <w:t>, Ekman</w:t>
      </w:r>
      <w:r>
        <w:t>,</w:t>
      </w:r>
      <w:r w:rsidRPr="006E51C7">
        <w:t xml:space="preserve"> D</w:t>
      </w:r>
      <w:r>
        <w:t>.</w:t>
      </w:r>
      <w:r w:rsidRPr="006E51C7">
        <w:t>, Gourmelon</w:t>
      </w:r>
      <w:r>
        <w:t>,</w:t>
      </w:r>
      <w:r w:rsidRPr="006E51C7">
        <w:t xml:space="preserve"> A</w:t>
      </w:r>
      <w:r>
        <w:t>.</w:t>
      </w:r>
      <w:r w:rsidRPr="006E51C7">
        <w:t>, Halder</w:t>
      </w:r>
      <w:r>
        <w:t>,</w:t>
      </w:r>
      <w:r w:rsidRPr="006E51C7">
        <w:t xml:space="preserve"> M</w:t>
      </w:r>
      <w:r>
        <w:t>.</w:t>
      </w:r>
      <w:r w:rsidRPr="006E51C7">
        <w:t>, Hardy</w:t>
      </w:r>
      <w:r>
        <w:t>,</w:t>
      </w:r>
      <w:r w:rsidRPr="006E51C7">
        <w:t xml:space="preserve"> B</w:t>
      </w:r>
      <w:r>
        <w:t>.</w:t>
      </w:r>
      <w:r w:rsidRPr="006E51C7">
        <w:t>, Hartung</w:t>
      </w:r>
      <w:r>
        <w:t>,</w:t>
      </w:r>
      <w:r w:rsidRPr="006E51C7">
        <w:t xml:space="preserve"> T</w:t>
      </w:r>
      <w:r>
        <w:t>.</w:t>
      </w:r>
      <w:r w:rsidRPr="006E51C7">
        <w:t>, Hubesch</w:t>
      </w:r>
      <w:r>
        <w:t>,</w:t>
      </w:r>
      <w:r w:rsidRPr="006E51C7">
        <w:t xml:space="preserve"> B</w:t>
      </w:r>
      <w:r>
        <w:t>.</w:t>
      </w:r>
      <w:r w:rsidRPr="006E51C7">
        <w:t>, Jungmann</w:t>
      </w:r>
      <w:r>
        <w:t>,</w:t>
      </w:r>
      <w:r w:rsidRPr="006E51C7">
        <w:t xml:space="preserve"> D</w:t>
      </w:r>
      <w:r>
        <w:t>.</w:t>
      </w:r>
      <w:r w:rsidRPr="006E51C7">
        <w:t>, Lampi</w:t>
      </w:r>
      <w:r>
        <w:t>,</w:t>
      </w:r>
      <w:r w:rsidRPr="006E51C7">
        <w:t xml:space="preserve"> M</w:t>
      </w:r>
      <w:r>
        <w:t>.</w:t>
      </w:r>
      <w:r w:rsidRPr="006E51C7">
        <w:t>A</w:t>
      </w:r>
      <w:r>
        <w:t>.</w:t>
      </w:r>
      <w:r w:rsidRPr="006E51C7">
        <w:t>, Lee</w:t>
      </w:r>
      <w:r>
        <w:t>,</w:t>
      </w:r>
      <w:r w:rsidRPr="006E51C7">
        <w:t xml:space="preserve"> L</w:t>
      </w:r>
      <w:r>
        <w:t>.</w:t>
      </w:r>
      <w:r w:rsidRPr="006E51C7">
        <w:t>, Léonard</w:t>
      </w:r>
      <w:r>
        <w:t>,</w:t>
      </w:r>
      <w:r w:rsidRPr="006E51C7">
        <w:t xml:space="preserve"> M</w:t>
      </w:r>
      <w:r>
        <w:t>.</w:t>
      </w:r>
      <w:r w:rsidRPr="006E51C7">
        <w:t>, Küster</w:t>
      </w:r>
      <w:r>
        <w:t>,</w:t>
      </w:r>
      <w:r w:rsidRPr="006E51C7">
        <w:t xml:space="preserve"> E</w:t>
      </w:r>
      <w:r>
        <w:t>.</w:t>
      </w:r>
      <w:r w:rsidRPr="006E51C7">
        <w:t xml:space="preserve">, </w:t>
      </w:r>
      <w:r w:rsidRPr="006E51C7">
        <w:lastRenderedPageBreak/>
        <w:t>Lillicrap</w:t>
      </w:r>
      <w:r>
        <w:t>,</w:t>
      </w:r>
      <w:r w:rsidRPr="006E51C7">
        <w:t xml:space="preserve"> A</w:t>
      </w:r>
      <w:r>
        <w:t>.</w:t>
      </w:r>
      <w:r w:rsidRPr="006E51C7">
        <w:t>, Luckenbach</w:t>
      </w:r>
      <w:r>
        <w:t>,</w:t>
      </w:r>
      <w:r w:rsidRPr="006E51C7">
        <w:t xml:space="preserve"> T</w:t>
      </w:r>
      <w:r>
        <w:t>.</w:t>
      </w:r>
      <w:r w:rsidRPr="006E51C7">
        <w:t>, Murk</w:t>
      </w:r>
      <w:r>
        <w:t>,</w:t>
      </w:r>
      <w:r w:rsidRPr="006E51C7">
        <w:t xml:space="preserve"> A</w:t>
      </w:r>
      <w:r>
        <w:t>.</w:t>
      </w:r>
      <w:r w:rsidRPr="006E51C7">
        <w:t>J</w:t>
      </w:r>
      <w:r>
        <w:t>.</w:t>
      </w:r>
      <w:r w:rsidRPr="006E51C7">
        <w:t>, Navas</w:t>
      </w:r>
      <w:r>
        <w:t>,</w:t>
      </w:r>
      <w:r w:rsidRPr="006E51C7">
        <w:t xml:space="preserve"> J</w:t>
      </w:r>
      <w:r>
        <w:t>.</w:t>
      </w:r>
      <w:r w:rsidRPr="006E51C7">
        <w:t>M</w:t>
      </w:r>
      <w:r>
        <w:t>.</w:t>
      </w:r>
      <w:r w:rsidRPr="006E51C7">
        <w:t>, Peijnenburg</w:t>
      </w:r>
      <w:r>
        <w:t>,</w:t>
      </w:r>
      <w:r w:rsidRPr="006E51C7">
        <w:t xml:space="preserve"> W</w:t>
      </w:r>
      <w:r>
        <w:t>.</w:t>
      </w:r>
      <w:r w:rsidRPr="006E51C7">
        <w:t>, Repetto</w:t>
      </w:r>
      <w:r>
        <w:t>,</w:t>
      </w:r>
      <w:r w:rsidRPr="006E51C7">
        <w:t xml:space="preserve"> G</w:t>
      </w:r>
      <w:r>
        <w:t>.</w:t>
      </w:r>
      <w:r w:rsidRPr="006E51C7">
        <w:t>, Salinas</w:t>
      </w:r>
      <w:r>
        <w:t>,</w:t>
      </w:r>
      <w:r w:rsidRPr="006E51C7">
        <w:t xml:space="preserve"> E</w:t>
      </w:r>
      <w:r>
        <w:t>.</w:t>
      </w:r>
      <w:r w:rsidRPr="006E51C7">
        <w:t>, Schüürmann</w:t>
      </w:r>
      <w:r>
        <w:t>,</w:t>
      </w:r>
      <w:r w:rsidRPr="006E51C7">
        <w:t xml:space="preserve"> G</w:t>
      </w:r>
      <w:r>
        <w:t>.</w:t>
      </w:r>
      <w:r w:rsidRPr="006E51C7">
        <w:t>, Spielmann</w:t>
      </w:r>
      <w:r>
        <w:t>,</w:t>
      </w:r>
      <w:r w:rsidRPr="006E51C7">
        <w:t xml:space="preserve"> H</w:t>
      </w:r>
      <w:r>
        <w:t>.</w:t>
      </w:r>
      <w:r w:rsidRPr="006E51C7">
        <w:t>, Tollefsen</w:t>
      </w:r>
      <w:r>
        <w:t>,</w:t>
      </w:r>
      <w:r w:rsidRPr="006E51C7">
        <w:t xml:space="preserve"> K</w:t>
      </w:r>
      <w:r>
        <w:t>.</w:t>
      </w:r>
      <w:r w:rsidRPr="006E51C7">
        <w:t>E</w:t>
      </w:r>
      <w:r>
        <w:t>.</w:t>
      </w:r>
      <w:r w:rsidRPr="006E51C7">
        <w:t>, Walter-Rohde</w:t>
      </w:r>
      <w:r>
        <w:t>,</w:t>
      </w:r>
      <w:r w:rsidRPr="006E51C7">
        <w:t xml:space="preserve"> S</w:t>
      </w:r>
      <w:r>
        <w:t>.</w:t>
      </w:r>
      <w:r w:rsidRPr="006E51C7">
        <w:t>, Whale</w:t>
      </w:r>
      <w:r>
        <w:t>,</w:t>
      </w:r>
      <w:r w:rsidRPr="006E51C7">
        <w:t xml:space="preserve"> G</w:t>
      </w:r>
      <w:r>
        <w:t>.</w:t>
      </w:r>
      <w:r w:rsidRPr="006E51C7">
        <w:t>, Wheeler</w:t>
      </w:r>
      <w:r>
        <w:t>,</w:t>
      </w:r>
      <w:r w:rsidRPr="006E51C7">
        <w:t xml:space="preserve"> J</w:t>
      </w:r>
      <w:r>
        <w:t>.</w:t>
      </w:r>
      <w:r w:rsidRPr="006E51C7">
        <w:t>R</w:t>
      </w:r>
      <w:r>
        <w:t>.</w:t>
      </w:r>
      <w:r w:rsidRPr="006E51C7">
        <w:t>, Winter</w:t>
      </w:r>
      <w:r>
        <w:t>,</w:t>
      </w:r>
      <w:r w:rsidRPr="006E51C7">
        <w:t xml:space="preserve"> M</w:t>
      </w:r>
      <w:r>
        <w:t>.</w:t>
      </w:r>
      <w:r w:rsidRPr="006E51C7">
        <w:t>J</w:t>
      </w:r>
      <w:r>
        <w:t xml:space="preserve">., 2013. </w:t>
      </w:r>
      <w:r w:rsidRPr="006E51C7">
        <w:t>A European perspective on alternatives to animal testing for environmental hazard identification and risk assessment.</w:t>
      </w:r>
      <w:r>
        <w:t xml:space="preserve"> </w:t>
      </w:r>
      <w:r w:rsidRPr="004C7874">
        <w:rPr>
          <w:lang w:val="nl-NL"/>
        </w:rPr>
        <w:t xml:space="preserve">Regul. Tox. Pharm. </w:t>
      </w:r>
      <w:r w:rsidRPr="003C569D">
        <w:rPr>
          <w:lang w:val="nl-BE"/>
        </w:rPr>
        <w:t xml:space="preserve">67, 506-530. </w:t>
      </w:r>
      <w:hyperlink r:id="rId17" w:history="1">
        <w:r w:rsidR="00385216" w:rsidRPr="003C569D">
          <w:rPr>
            <w:rStyle w:val="Hyperlink"/>
            <w:lang w:val="nl-BE"/>
          </w:rPr>
          <w:t>http://dx.doi.org/10.1016/j.yrtph.2013.10.003</w:t>
        </w:r>
      </w:hyperlink>
      <w:r w:rsidR="00385216" w:rsidRPr="003C569D">
        <w:rPr>
          <w:lang w:val="nl-BE"/>
        </w:rPr>
        <w:t xml:space="preserve">.  </w:t>
      </w:r>
    </w:p>
    <w:p w:rsidR="00206919" w:rsidRPr="00A239BA" w:rsidRDefault="00206919" w:rsidP="00206919">
      <w:pPr>
        <w:spacing w:after="0" w:line="480" w:lineRule="auto"/>
        <w:jc w:val="both"/>
      </w:pPr>
      <w:r w:rsidRPr="00385216">
        <w:rPr>
          <w:lang w:val="nl-NL"/>
        </w:rPr>
        <w:t xml:space="preserve">Van Bossuyt, M., Van Hoeck, E., Vanhaecke, T., Rogiers, V., Mertens, B., 2016. </w:t>
      </w:r>
      <w:r w:rsidRPr="00A239BA">
        <w:t xml:space="preserve">Printed paper and </w:t>
      </w:r>
    </w:p>
    <w:p w:rsidR="00206919" w:rsidRPr="00E05B52" w:rsidRDefault="00206919" w:rsidP="00206919">
      <w:pPr>
        <w:spacing w:after="0" w:line="480" w:lineRule="auto"/>
        <w:ind w:left="720"/>
        <w:jc w:val="both"/>
      </w:pPr>
      <w:r w:rsidRPr="00A239BA">
        <w:t xml:space="preserve">board food contact materials as a </w:t>
      </w:r>
      <w:r>
        <w:t xml:space="preserve">potential source of food contamination. Regul. Tox. Pharm. </w:t>
      </w:r>
      <w:r w:rsidRPr="00645008">
        <w:t>8</w:t>
      </w:r>
      <w:r>
        <w:t>1</w:t>
      </w:r>
      <w:r w:rsidRPr="00645008">
        <w:t>, 10-19.</w:t>
      </w:r>
      <w:r>
        <w:t xml:space="preserve"> </w:t>
      </w:r>
      <w:hyperlink r:id="rId18" w:history="1">
        <w:r w:rsidR="00385216" w:rsidRPr="00055718">
          <w:rPr>
            <w:rStyle w:val="Hyperlink"/>
          </w:rPr>
          <w:t>http://dx.doi.org/10.1016/j.yrtph.2016.06.025</w:t>
        </w:r>
      </w:hyperlink>
      <w:r w:rsidR="00385216">
        <w:t xml:space="preserve">. </w:t>
      </w:r>
    </w:p>
    <w:p w:rsidR="00C014F7" w:rsidRPr="00E05B52" w:rsidRDefault="003C0A2C" w:rsidP="003C0A2C">
      <w:pPr>
        <w:spacing w:after="0" w:line="480" w:lineRule="auto"/>
      </w:pPr>
      <w:r w:rsidRPr="00E05B52">
        <w:t>Van Bossuyt</w:t>
      </w:r>
      <w:r w:rsidR="00C014F7" w:rsidRPr="00E05B52">
        <w:t>,</w:t>
      </w:r>
      <w:r w:rsidRPr="00E05B52">
        <w:t xml:space="preserve"> M</w:t>
      </w:r>
      <w:r w:rsidR="00C014F7" w:rsidRPr="00E05B52">
        <w:t>.</w:t>
      </w:r>
      <w:r w:rsidRPr="00E05B52">
        <w:t>, Van Hoeck</w:t>
      </w:r>
      <w:r w:rsidR="00C014F7" w:rsidRPr="00E05B52">
        <w:t>,</w:t>
      </w:r>
      <w:r w:rsidRPr="00E05B52">
        <w:t xml:space="preserve"> E</w:t>
      </w:r>
      <w:r w:rsidR="00C014F7" w:rsidRPr="00E05B52">
        <w:t>.</w:t>
      </w:r>
      <w:r w:rsidRPr="00E05B52">
        <w:t>, Raitano</w:t>
      </w:r>
      <w:r w:rsidR="00C014F7" w:rsidRPr="00E05B52">
        <w:t>,</w:t>
      </w:r>
      <w:r w:rsidRPr="00E05B52">
        <w:t xml:space="preserve"> G</w:t>
      </w:r>
      <w:r w:rsidR="00C014F7" w:rsidRPr="00E05B52">
        <w:t>.</w:t>
      </w:r>
      <w:r w:rsidRPr="00E05B52">
        <w:t>, Manganelli</w:t>
      </w:r>
      <w:r w:rsidR="00C014F7" w:rsidRPr="00E05B52">
        <w:t>,</w:t>
      </w:r>
      <w:r w:rsidRPr="00E05B52">
        <w:t xml:space="preserve"> S</w:t>
      </w:r>
      <w:r w:rsidR="00C014F7" w:rsidRPr="00E05B52">
        <w:t>.</w:t>
      </w:r>
      <w:r w:rsidRPr="00E05B52">
        <w:t>, Braeken</w:t>
      </w:r>
      <w:r w:rsidR="00C014F7" w:rsidRPr="00E05B52">
        <w:t>,</w:t>
      </w:r>
      <w:r w:rsidRPr="00E05B52">
        <w:t xml:space="preserve"> E</w:t>
      </w:r>
      <w:r w:rsidR="00C014F7" w:rsidRPr="00E05B52">
        <w:t>.</w:t>
      </w:r>
      <w:r w:rsidRPr="00E05B52">
        <w:t>, Ates</w:t>
      </w:r>
      <w:r w:rsidR="00C014F7" w:rsidRPr="00E05B52">
        <w:t>,</w:t>
      </w:r>
      <w:r w:rsidRPr="00E05B52">
        <w:t xml:space="preserve"> G</w:t>
      </w:r>
      <w:r w:rsidR="00C014F7" w:rsidRPr="00E05B52">
        <w:t>.</w:t>
      </w:r>
      <w:r w:rsidRPr="00E05B52">
        <w:t>, Vanhaecke</w:t>
      </w:r>
      <w:r w:rsidR="00C014F7" w:rsidRPr="00E05B52">
        <w:t>,</w:t>
      </w:r>
      <w:r w:rsidRPr="00E05B52">
        <w:t xml:space="preserve"> T</w:t>
      </w:r>
      <w:r w:rsidR="00C014F7" w:rsidRPr="00E05B52">
        <w:t>.</w:t>
      </w:r>
      <w:r w:rsidRPr="00E05B52">
        <w:t xml:space="preserve">, </w:t>
      </w:r>
    </w:p>
    <w:p w:rsidR="00C014F7" w:rsidRDefault="003C0A2C" w:rsidP="00C014F7">
      <w:pPr>
        <w:spacing w:after="0" w:line="480" w:lineRule="auto"/>
        <w:ind w:firstLine="720"/>
      </w:pPr>
      <w:r>
        <w:t>Van Miert</w:t>
      </w:r>
      <w:r w:rsidR="00C014F7">
        <w:t>,</w:t>
      </w:r>
      <w:r>
        <w:t xml:space="preserve"> S</w:t>
      </w:r>
      <w:r w:rsidR="00C014F7">
        <w:t>.</w:t>
      </w:r>
      <w:r>
        <w:t>,</w:t>
      </w:r>
      <w:r w:rsidR="00C014F7">
        <w:t xml:space="preserve"> </w:t>
      </w:r>
      <w:r>
        <w:t>Benfenati</w:t>
      </w:r>
      <w:r w:rsidR="00C014F7">
        <w:t>,</w:t>
      </w:r>
      <w:r>
        <w:t xml:space="preserve"> E</w:t>
      </w:r>
      <w:r w:rsidR="00C014F7">
        <w:t>.</w:t>
      </w:r>
      <w:r>
        <w:t>, Mertens</w:t>
      </w:r>
      <w:r w:rsidR="00C014F7">
        <w:t>,</w:t>
      </w:r>
      <w:r w:rsidRPr="00A002FE">
        <w:t xml:space="preserve"> B</w:t>
      </w:r>
      <w:r w:rsidR="00C014F7">
        <w:t>.</w:t>
      </w:r>
      <w:r>
        <w:t>, Rogiers</w:t>
      </w:r>
      <w:r w:rsidR="00C014F7">
        <w:t>,</w:t>
      </w:r>
      <w:r>
        <w:t xml:space="preserve"> V. </w:t>
      </w:r>
      <w:r w:rsidRPr="00A002FE">
        <w:t xml:space="preserve">(Q)SAR tools for priority setting: a case </w:t>
      </w:r>
    </w:p>
    <w:p w:rsidR="003C0A2C" w:rsidRDefault="003C0A2C" w:rsidP="00C014F7">
      <w:pPr>
        <w:spacing w:after="0" w:line="480" w:lineRule="auto"/>
        <w:ind w:firstLine="720"/>
        <w:rPr>
          <w:i/>
        </w:rPr>
      </w:pPr>
      <w:r w:rsidRPr="00A002FE">
        <w:t>study with printed paper and board food contact material substances</w:t>
      </w:r>
      <w:r>
        <w:t>.</w:t>
      </w:r>
      <w:r w:rsidRPr="00A002FE">
        <w:t xml:space="preserve"> </w:t>
      </w:r>
      <w:r w:rsidR="0012030D">
        <w:rPr>
          <w:i/>
        </w:rPr>
        <w:t xml:space="preserve">Under review </w:t>
      </w:r>
    </w:p>
    <w:p w:rsidR="00CA725F" w:rsidRPr="00F324C8" w:rsidRDefault="00CA725F" w:rsidP="00221159">
      <w:pPr>
        <w:spacing w:after="0" w:line="480" w:lineRule="auto"/>
      </w:pPr>
    </w:p>
    <w:p w:rsidR="00CA725F" w:rsidRPr="00F324C8" w:rsidRDefault="00CA725F" w:rsidP="0094795A">
      <w:pPr>
        <w:spacing w:after="0" w:line="480" w:lineRule="auto"/>
      </w:pPr>
    </w:p>
    <w:p w:rsidR="00CA725F" w:rsidRPr="00F324C8" w:rsidRDefault="00CA725F" w:rsidP="0094795A">
      <w:pPr>
        <w:spacing w:after="0" w:line="480" w:lineRule="auto"/>
      </w:pPr>
    </w:p>
    <w:p w:rsidR="00CA725F" w:rsidRPr="00F324C8" w:rsidRDefault="00CA725F" w:rsidP="0094795A">
      <w:pPr>
        <w:spacing w:after="0" w:line="480" w:lineRule="auto"/>
      </w:pPr>
    </w:p>
    <w:p w:rsidR="00D93E9A" w:rsidRDefault="00D93E9A" w:rsidP="00CB2AD5">
      <w:pPr>
        <w:spacing w:after="0" w:line="480" w:lineRule="auto"/>
      </w:pPr>
    </w:p>
    <w:p w:rsidR="00373999" w:rsidRPr="00373999" w:rsidRDefault="00373999" w:rsidP="00D93E9A">
      <w:pPr>
        <w:spacing w:after="0" w:line="480" w:lineRule="auto"/>
      </w:pPr>
    </w:p>
    <w:sectPr w:rsidR="00373999" w:rsidRPr="00373999" w:rsidSect="009A0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A6"/>
    <w:rsid w:val="000007F2"/>
    <w:rsid w:val="00003701"/>
    <w:rsid w:val="000042A5"/>
    <w:rsid w:val="00005008"/>
    <w:rsid w:val="00005753"/>
    <w:rsid w:val="00007036"/>
    <w:rsid w:val="00013122"/>
    <w:rsid w:val="00013A92"/>
    <w:rsid w:val="00017F22"/>
    <w:rsid w:val="00021991"/>
    <w:rsid w:val="00023C65"/>
    <w:rsid w:val="0002420A"/>
    <w:rsid w:val="00025A03"/>
    <w:rsid w:val="00027CB4"/>
    <w:rsid w:val="00030EAF"/>
    <w:rsid w:val="00032613"/>
    <w:rsid w:val="00034F72"/>
    <w:rsid w:val="00036348"/>
    <w:rsid w:val="00040210"/>
    <w:rsid w:val="000418F8"/>
    <w:rsid w:val="00044798"/>
    <w:rsid w:val="000471D6"/>
    <w:rsid w:val="00050155"/>
    <w:rsid w:val="0005081D"/>
    <w:rsid w:val="00053479"/>
    <w:rsid w:val="000650ED"/>
    <w:rsid w:val="00075F8D"/>
    <w:rsid w:val="000771FB"/>
    <w:rsid w:val="00077243"/>
    <w:rsid w:val="00077702"/>
    <w:rsid w:val="00086475"/>
    <w:rsid w:val="0009176E"/>
    <w:rsid w:val="00094115"/>
    <w:rsid w:val="000B2608"/>
    <w:rsid w:val="000B42D7"/>
    <w:rsid w:val="000B4E97"/>
    <w:rsid w:val="000C1330"/>
    <w:rsid w:val="000C2DB4"/>
    <w:rsid w:val="000D0F2B"/>
    <w:rsid w:val="000D1DDB"/>
    <w:rsid w:val="000D6AEF"/>
    <w:rsid w:val="000E2260"/>
    <w:rsid w:val="000E7F94"/>
    <w:rsid w:val="000F05F7"/>
    <w:rsid w:val="000F36E5"/>
    <w:rsid w:val="000F4E7A"/>
    <w:rsid w:val="00105102"/>
    <w:rsid w:val="00107D5A"/>
    <w:rsid w:val="001107FA"/>
    <w:rsid w:val="001177FB"/>
    <w:rsid w:val="0012030D"/>
    <w:rsid w:val="001277DF"/>
    <w:rsid w:val="00132FAC"/>
    <w:rsid w:val="001408D7"/>
    <w:rsid w:val="0014288E"/>
    <w:rsid w:val="00146AE2"/>
    <w:rsid w:val="0015502C"/>
    <w:rsid w:val="00156199"/>
    <w:rsid w:val="00160644"/>
    <w:rsid w:val="001709C8"/>
    <w:rsid w:val="001740FB"/>
    <w:rsid w:val="0017552F"/>
    <w:rsid w:val="0017613C"/>
    <w:rsid w:val="001A0571"/>
    <w:rsid w:val="001A6584"/>
    <w:rsid w:val="001A6895"/>
    <w:rsid w:val="001B10C5"/>
    <w:rsid w:val="001B3434"/>
    <w:rsid w:val="001B45BF"/>
    <w:rsid w:val="001B4BB5"/>
    <w:rsid w:val="001B56D7"/>
    <w:rsid w:val="001B6A8C"/>
    <w:rsid w:val="001D0ABF"/>
    <w:rsid w:val="001D2641"/>
    <w:rsid w:val="001D5A4A"/>
    <w:rsid w:val="001D5D49"/>
    <w:rsid w:val="001E094E"/>
    <w:rsid w:val="001E39C1"/>
    <w:rsid w:val="001E521E"/>
    <w:rsid w:val="001F5BDB"/>
    <w:rsid w:val="00206919"/>
    <w:rsid w:val="002075E7"/>
    <w:rsid w:val="00217289"/>
    <w:rsid w:val="0022097F"/>
    <w:rsid w:val="00221159"/>
    <w:rsid w:val="0022455F"/>
    <w:rsid w:val="00226F4D"/>
    <w:rsid w:val="00227628"/>
    <w:rsid w:val="0023237D"/>
    <w:rsid w:val="00234B3E"/>
    <w:rsid w:val="0023648C"/>
    <w:rsid w:val="00241AF7"/>
    <w:rsid w:val="00242BE6"/>
    <w:rsid w:val="00247923"/>
    <w:rsid w:val="00256121"/>
    <w:rsid w:val="00271440"/>
    <w:rsid w:val="00276B20"/>
    <w:rsid w:val="0028192E"/>
    <w:rsid w:val="0028247D"/>
    <w:rsid w:val="002830A3"/>
    <w:rsid w:val="002913B4"/>
    <w:rsid w:val="00293DD3"/>
    <w:rsid w:val="00295E5A"/>
    <w:rsid w:val="002A4A06"/>
    <w:rsid w:val="002B31D7"/>
    <w:rsid w:val="002C6BE4"/>
    <w:rsid w:val="002D114C"/>
    <w:rsid w:val="002D1595"/>
    <w:rsid w:val="002D18B5"/>
    <w:rsid w:val="002D1908"/>
    <w:rsid w:val="002D3B1A"/>
    <w:rsid w:val="002D7A11"/>
    <w:rsid w:val="002E1EAB"/>
    <w:rsid w:val="002E42E5"/>
    <w:rsid w:val="002F070D"/>
    <w:rsid w:val="002F153D"/>
    <w:rsid w:val="002F784B"/>
    <w:rsid w:val="0031396A"/>
    <w:rsid w:val="00313CC0"/>
    <w:rsid w:val="00317E41"/>
    <w:rsid w:val="0032047E"/>
    <w:rsid w:val="00324CFC"/>
    <w:rsid w:val="00334984"/>
    <w:rsid w:val="00334E78"/>
    <w:rsid w:val="00337AF8"/>
    <w:rsid w:val="003428E2"/>
    <w:rsid w:val="00350817"/>
    <w:rsid w:val="0035091D"/>
    <w:rsid w:val="003605ED"/>
    <w:rsid w:val="00367AB9"/>
    <w:rsid w:val="00373999"/>
    <w:rsid w:val="00376DC3"/>
    <w:rsid w:val="00383E33"/>
    <w:rsid w:val="00385216"/>
    <w:rsid w:val="00393940"/>
    <w:rsid w:val="00397B64"/>
    <w:rsid w:val="003A2376"/>
    <w:rsid w:val="003A5EB5"/>
    <w:rsid w:val="003A723D"/>
    <w:rsid w:val="003C0A2C"/>
    <w:rsid w:val="003C2E23"/>
    <w:rsid w:val="003C569D"/>
    <w:rsid w:val="003D07D3"/>
    <w:rsid w:val="003D291F"/>
    <w:rsid w:val="003E281D"/>
    <w:rsid w:val="003F14A2"/>
    <w:rsid w:val="003F6ED2"/>
    <w:rsid w:val="003F7B41"/>
    <w:rsid w:val="00400005"/>
    <w:rsid w:val="00403A6E"/>
    <w:rsid w:val="004052D4"/>
    <w:rsid w:val="00405B75"/>
    <w:rsid w:val="00410AE2"/>
    <w:rsid w:val="00411239"/>
    <w:rsid w:val="004128F5"/>
    <w:rsid w:val="00422174"/>
    <w:rsid w:val="004230E3"/>
    <w:rsid w:val="00424ABD"/>
    <w:rsid w:val="0043045C"/>
    <w:rsid w:val="00434795"/>
    <w:rsid w:val="0044021D"/>
    <w:rsid w:val="004407FF"/>
    <w:rsid w:val="00442B96"/>
    <w:rsid w:val="00445E88"/>
    <w:rsid w:val="00446442"/>
    <w:rsid w:val="00451CB8"/>
    <w:rsid w:val="004567F1"/>
    <w:rsid w:val="004620E0"/>
    <w:rsid w:val="00462E97"/>
    <w:rsid w:val="0047281F"/>
    <w:rsid w:val="00475BDC"/>
    <w:rsid w:val="00480F97"/>
    <w:rsid w:val="004829FB"/>
    <w:rsid w:val="00485E27"/>
    <w:rsid w:val="00491BE8"/>
    <w:rsid w:val="004972D4"/>
    <w:rsid w:val="004A0D92"/>
    <w:rsid w:val="004B1814"/>
    <w:rsid w:val="004C3E6D"/>
    <w:rsid w:val="004C4D6B"/>
    <w:rsid w:val="004C7874"/>
    <w:rsid w:val="004D17F6"/>
    <w:rsid w:val="004D3D2A"/>
    <w:rsid w:val="004D79D9"/>
    <w:rsid w:val="004E2E3C"/>
    <w:rsid w:val="004E318C"/>
    <w:rsid w:val="004E3725"/>
    <w:rsid w:val="004E3ABA"/>
    <w:rsid w:val="004F19C9"/>
    <w:rsid w:val="004F7BE4"/>
    <w:rsid w:val="00504A8A"/>
    <w:rsid w:val="00511C91"/>
    <w:rsid w:val="00513D5F"/>
    <w:rsid w:val="00516929"/>
    <w:rsid w:val="00522AFE"/>
    <w:rsid w:val="005258CF"/>
    <w:rsid w:val="00526754"/>
    <w:rsid w:val="0052785D"/>
    <w:rsid w:val="00537CA3"/>
    <w:rsid w:val="00542169"/>
    <w:rsid w:val="00543FB5"/>
    <w:rsid w:val="00544684"/>
    <w:rsid w:val="00552529"/>
    <w:rsid w:val="00553660"/>
    <w:rsid w:val="00553EAE"/>
    <w:rsid w:val="00555063"/>
    <w:rsid w:val="00557E1E"/>
    <w:rsid w:val="00562FFE"/>
    <w:rsid w:val="005829E4"/>
    <w:rsid w:val="00592C08"/>
    <w:rsid w:val="00595F40"/>
    <w:rsid w:val="005A03BE"/>
    <w:rsid w:val="005A0432"/>
    <w:rsid w:val="005A5ECB"/>
    <w:rsid w:val="005B53F3"/>
    <w:rsid w:val="005D17F5"/>
    <w:rsid w:val="005E1429"/>
    <w:rsid w:val="005F277F"/>
    <w:rsid w:val="005F3C93"/>
    <w:rsid w:val="005F7602"/>
    <w:rsid w:val="00601957"/>
    <w:rsid w:val="00606D38"/>
    <w:rsid w:val="006128F6"/>
    <w:rsid w:val="00620DCB"/>
    <w:rsid w:val="00635F82"/>
    <w:rsid w:val="00637B0F"/>
    <w:rsid w:val="00640412"/>
    <w:rsid w:val="00640C6D"/>
    <w:rsid w:val="006425AB"/>
    <w:rsid w:val="00643089"/>
    <w:rsid w:val="00647671"/>
    <w:rsid w:val="006513E2"/>
    <w:rsid w:val="00655CE3"/>
    <w:rsid w:val="006606C7"/>
    <w:rsid w:val="006621F6"/>
    <w:rsid w:val="006624C8"/>
    <w:rsid w:val="00665E6D"/>
    <w:rsid w:val="00670F18"/>
    <w:rsid w:val="00671069"/>
    <w:rsid w:val="006833DD"/>
    <w:rsid w:val="006937C5"/>
    <w:rsid w:val="00693CF5"/>
    <w:rsid w:val="006A3FAC"/>
    <w:rsid w:val="006B3E16"/>
    <w:rsid w:val="006B4E38"/>
    <w:rsid w:val="006B60BE"/>
    <w:rsid w:val="006C18B3"/>
    <w:rsid w:val="006C1DF2"/>
    <w:rsid w:val="006C7034"/>
    <w:rsid w:val="006E1805"/>
    <w:rsid w:val="006E1CB6"/>
    <w:rsid w:val="006E28B5"/>
    <w:rsid w:val="006E51C7"/>
    <w:rsid w:val="006E64EC"/>
    <w:rsid w:val="006E6F72"/>
    <w:rsid w:val="006F1BD5"/>
    <w:rsid w:val="006F1D74"/>
    <w:rsid w:val="0071120C"/>
    <w:rsid w:val="007133D9"/>
    <w:rsid w:val="00721DA6"/>
    <w:rsid w:val="0072521C"/>
    <w:rsid w:val="00726B42"/>
    <w:rsid w:val="00732D8D"/>
    <w:rsid w:val="00734954"/>
    <w:rsid w:val="00737B2D"/>
    <w:rsid w:val="007402EA"/>
    <w:rsid w:val="00750A37"/>
    <w:rsid w:val="007510EE"/>
    <w:rsid w:val="0075714A"/>
    <w:rsid w:val="007619B9"/>
    <w:rsid w:val="00764FB1"/>
    <w:rsid w:val="00765713"/>
    <w:rsid w:val="00775266"/>
    <w:rsid w:val="00786E7E"/>
    <w:rsid w:val="00791C5D"/>
    <w:rsid w:val="00791F38"/>
    <w:rsid w:val="00792C72"/>
    <w:rsid w:val="007945DE"/>
    <w:rsid w:val="00794DE6"/>
    <w:rsid w:val="0079561F"/>
    <w:rsid w:val="007A37DC"/>
    <w:rsid w:val="007B1F4F"/>
    <w:rsid w:val="007C259E"/>
    <w:rsid w:val="007C30FE"/>
    <w:rsid w:val="007D1EA2"/>
    <w:rsid w:val="007E5357"/>
    <w:rsid w:val="007E6079"/>
    <w:rsid w:val="007F12AF"/>
    <w:rsid w:val="00820653"/>
    <w:rsid w:val="00821D9C"/>
    <w:rsid w:val="00824698"/>
    <w:rsid w:val="00826D73"/>
    <w:rsid w:val="00827C08"/>
    <w:rsid w:val="00830412"/>
    <w:rsid w:val="0083128A"/>
    <w:rsid w:val="0084203B"/>
    <w:rsid w:val="00842E6F"/>
    <w:rsid w:val="00845083"/>
    <w:rsid w:val="008456CA"/>
    <w:rsid w:val="00846A45"/>
    <w:rsid w:val="00847D5C"/>
    <w:rsid w:val="008506B5"/>
    <w:rsid w:val="00852D44"/>
    <w:rsid w:val="00853CF2"/>
    <w:rsid w:val="0085407F"/>
    <w:rsid w:val="00856FE8"/>
    <w:rsid w:val="0087153B"/>
    <w:rsid w:val="00873B1F"/>
    <w:rsid w:val="00873D76"/>
    <w:rsid w:val="00877780"/>
    <w:rsid w:val="00881F25"/>
    <w:rsid w:val="00882D1B"/>
    <w:rsid w:val="00885E90"/>
    <w:rsid w:val="00885F1F"/>
    <w:rsid w:val="008A1C40"/>
    <w:rsid w:val="008A6E49"/>
    <w:rsid w:val="008B3C54"/>
    <w:rsid w:val="008B4016"/>
    <w:rsid w:val="008C1B05"/>
    <w:rsid w:val="008D160F"/>
    <w:rsid w:val="008D3DEE"/>
    <w:rsid w:val="008D65E1"/>
    <w:rsid w:val="008D66F6"/>
    <w:rsid w:val="008D792F"/>
    <w:rsid w:val="008E06BE"/>
    <w:rsid w:val="008E1400"/>
    <w:rsid w:val="009005E0"/>
    <w:rsid w:val="009059EE"/>
    <w:rsid w:val="009133D0"/>
    <w:rsid w:val="00922283"/>
    <w:rsid w:val="0092558A"/>
    <w:rsid w:val="00930DD2"/>
    <w:rsid w:val="0093167B"/>
    <w:rsid w:val="00941682"/>
    <w:rsid w:val="009418B8"/>
    <w:rsid w:val="00945DA1"/>
    <w:rsid w:val="0094617B"/>
    <w:rsid w:val="0094795A"/>
    <w:rsid w:val="00965582"/>
    <w:rsid w:val="00977D40"/>
    <w:rsid w:val="00984F94"/>
    <w:rsid w:val="009878B6"/>
    <w:rsid w:val="00993589"/>
    <w:rsid w:val="009A0271"/>
    <w:rsid w:val="009A6FDE"/>
    <w:rsid w:val="009C5E78"/>
    <w:rsid w:val="009C6A92"/>
    <w:rsid w:val="009C741A"/>
    <w:rsid w:val="009D0F33"/>
    <w:rsid w:val="009D5774"/>
    <w:rsid w:val="009E4F93"/>
    <w:rsid w:val="009E65B9"/>
    <w:rsid w:val="009F7E72"/>
    <w:rsid w:val="009F7E83"/>
    <w:rsid w:val="00A002FE"/>
    <w:rsid w:val="00A04884"/>
    <w:rsid w:val="00A1250C"/>
    <w:rsid w:val="00A16669"/>
    <w:rsid w:val="00A1710D"/>
    <w:rsid w:val="00A17AEE"/>
    <w:rsid w:val="00A20415"/>
    <w:rsid w:val="00A20842"/>
    <w:rsid w:val="00A20E46"/>
    <w:rsid w:val="00A30848"/>
    <w:rsid w:val="00A30C48"/>
    <w:rsid w:val="00A33D0F"/>
    <w:rsid w:val="00A374A4"/>
    <w:rsid w:val="00A37C51"/>
    <w:rsid w:val="00A4630C"/>
    <w:rsid w:val="00A70E04"/>
    <w:rsid w:val="00A8237A"/>
    <w:rsid w:val="00A84A5F"/>
    <w:rsid w:val="00A90677"/>
    <w:rsid w:val="00A90886"/>
    <w:rsid w:val="00A9559E"/>
    <w:rsid w:val="00A95B60"/>
    <w:rsid w:val="00A97128"/>
    <w:rsid w:val="00AA2D04"/>
    <w:rsid w:val="00AA2D39"/>
    <w:rsid w:val="00AA381A"/>
    <w:rsid w:val="00AA491B"/>
    <w:rsid w:val="00AA6FDD"/>
    <w:rsid w:val="00AB0E5B"/>
    <w:rsid w:val="00AC5224"/>
    <w:rsid w:val="00AD23F8"/>
    <w:rsid w:val="00AD3168"/>
    <w:rsid w:val="00AE2CD9"/>
    <w:rsid w:val="00AE33B5"/>
    <w:rsid w:val="00AE658C"/>
    <w:rsid w:val="00B00123"/>
    <w:rsid w:val="00B278AE"/>
    <w:rsid w:val="00B320A8"/>
    <w:rsid w:val="00B332B6"/>
    <w:rsid w:val="00B353E3"/>
    <w:rsid w:val="00B35E21"/>
    <w:rsid w:val="00B36145"/>
    <w:rsid w:val="00B37E22"/>
    <w:rsid w:val="00B37E50"/>
    <w:rsid w:val="00B40682"/>
    <w:rsid w:val="00B517EE"/>
    <w:rsid w:val="00B57D33"/>
    <w:rsid w:val="00B65A11"/>
    <w:rsid w:val="00B66522"/>
    <w:rsid w:val="00B7374C"/>
    <w:rsid w:val="00B77B1D"/>
    <w:rsid w:val="00B8315C"/>
    <w:rsid w:val="00B93432"/>
    <w:rsid w:val="00B93BA5"/>
    <w:rsid w:val="00B95EE1"/>
    <w:rsid w:val="00BA09E9"/>
    <w:rsid w:val="00BA108B"/>
    <w:rsid w:val="00BA3B46"/>
    <w:rsid w:val="00BA636E"/>
    <w:rsid w:val="00BA7418"/>
    <w:rsid w:val="00BB02B9"/>
    <w:rsid w:val="00BB2E5A"/>
    <w:rsid w:val="00BB3329"/>
    <w:rsid w:val="00BB74E0"/>
    <w:rsid w:val="00BC3A3E"/>
    <w:rsid w:val="00BC43F5"/>
    <w:rsid w:val="00BD0C64"/>
    <w:rsid w:val="00BD3101"/>
    <w:rsid w:val="00BD3B23"/>
    <w:rsid w:val="00BE1F5D"/>
    <w:rsid w:val="00BF2F33"/>
    <w:rsid w:val="00BF3D82"/>
    <w:rsid w:val="00C014F7"/>
    <w:rsid w:val="00C02309"/>
    <w:rsid w:val="00C03DEF"/>
    <w:rsid w:val="00C105C6"/>
    <w:rsid w:val="00C1457D"/>
    <w:rsid w:val="00C31F9E"/>
    <w:rsid w:val="00C36B89"/>
    <w:rsid w:val="00C40549"/>
    <w:rsid w:val="00C448DF"/>
    <w:rsid w:val="00C45970"/>
    <w:rsid w:val="00C51635"/>
    <w:rsid w:val="00C55046"/>
    <w:rsid w:val="00C6013D"/>
    <w:rsid w:val="00C632B1"/>
    <w:rsid w:val="00C64C8C"/>
    <w:rsid w:val="00C654CE"/>
    <w:rsid w:val="00C70D14"/>
    <w:rsid w:val="00C824D4"/>
    <w:rsid w:val="00C86515"/>
    <w:rsid w:val="00C93443"/>
    <w:rsid w:val="00C96691"/>
    <w:rsid w:val="00CA4A32"/>
    <w:rsid w:val="00CA725F"/>
    <w:rsid w:val="00CB1C65"/>
    <w:rsid w:val="00CB2AD5"/>
    <w:rsid w:val="00CB36E7"/>
    <w:rsid w:val="00CB79F2"/>
    <w:rsid w:val="00CC0F97"/>
    <w:rsid w:val="00CD781C"/>
    <w:rsid w:val="00CD78E7"/>
    <w:rsid w:val="00CF2485"/>
    <w:rsid w:val="00CF3C6F"/>
    <w:rsid w:val="00CF7262"/>
    <w:rsid w:val="00D00614"/>
    <w:rsid w:val="00D05574"/>
    <w:rsid w:val="00D06FBB"/>
    <w:rsid w:val="00D11C20"/>
    <w:rsid w:val="00D11D30"/>
    <w:rsid w:val="00D14127"/>
    <w:rsid w:val="00D144C8"/>
    <w:rsid w:val="00D21569"/>
    <w:rsid w:val="00D270F2"/>
    <w:rsid w:val="00D37996"/>
    <w:rsid w:val="00D45FC2"/>
    <w:rsid w:val="00D511E6"/>
    <w:rsid w:val="00D515F4"/>
    <w:rsid w:val="00D51645"/>
    <w:rsid w:val="00D52C9B"/>
    <w:rsid w:val="00D531A6"/>
    <w:rsid w:val="00D66008"/>
    <w:rsid w:val="00D73B37"/>
    <w:rsid w:val="00D73C36"/>
    <w:rsid w:val="00D819BB"/>
    <w:rsid w:val="00D86EF6"/>
    <w:rsid w:val="00D9104E"/>
    <w:rsid w:val="00D93DDA"/>
    <w:rsid w:val="00D93E9A"/>
    <w:rsid w:val="00DA0BF3"/>
    <w:rsid w:val="00DB2C71"/>
    <w:rsid w:val="00DB3B49"/>
    <w:rsid w:val="00DB5D0A"/>
    <w:rsid w:val="00DC05EB"/>
    <w:rsid w:val="00DC7615"/>
    <w:rsid w:val="00DD377B"/>
    <w:rsid w:val="00DD66A0"/>
    <w:rsid w:val="00DD7000"/>
    <w:rsid w:val="00DE259A"/>
    <w:rsid w:val="00DE4649"/>
    <w:rsid w:val="00E03CB6"/>
    <w:rsid w:val="00E05B52"/>
    <w:rsid w:val="00E10CB2"/>
    <w:rsid w:val="00E14764"/>
    <w:rsid w:val="00E172D1"/>
    <w:rsid w:val="00E20B5C"/>
    <w:rsid w:val="00E20F71"/>
    <w:rsid w:val="00E21185"/>
    <w:rsid w:val="00E269C2"/>
    <w:rsid w:val="00E32CB2"/>
    <w:rsid w:val="00E34BB2"/>
    <w:rsid w:val="00E35ACC"/>
    <w:rsid w:val="00E35F81"/>
    <w:rsid w:val="00E36AF6"/>
    <w:rsid w:val="00E41951"/>
    <w:rsid w:val="00E550C8"/>
    <w:rsid w:val="00E55621"/>
    <w:rsid w:val="00E569B5"/>
    <w:rsid w:val="00E60DDA"/>
    <w:rsid w:val="00E679FD"/>
    <w:rsid w:val="00E7582B"/>
    <w:rsid w:val="00E7714C"/>
    <w:rsid w:val="00E83832"/>
    <w:rsid w:val="00E94A40"/>
    <w:rsid w:val="00E96807"/>
    <w:rsid w:val="00EA429E"/>
    <w:rsid w:val="00EC1525"/>
    <w:rsid w:val="00EC1711"/>
    <w:rsid w:val="00EC6E55"/>
    <w:rsid w:val="00ED5087"/>
    <w:rsid w:val="00EE1892"/>
    <w:rsid w:val="00EE5AA8"/>
    <w:rsid w:val="00EE60C6"/>
    <w:rsid w:val="00EF21DE"/>
    <w:rsid w:val="00EF4AED"/>
    <w:rsid w:val="00EF5A4A"/>
    <w:rsid w:val="00EF76BB"/>
    <w:rsid w:val="00F0378B"/>
    <w:rsid w:val="00F03F6E"/>
    <w:rsid w:val="00F06D71"/>
    <w:rsid w:val="00F1388A"/>
    <w:rsid w:val="00F13E07"/>
    <w:rsid w:val="00F324C8"/>
    <w:rsid w:val="00F329B8"/>
    <w:rsid w:val="00F3580B"/>
    <w:rsid w:val="00F35FAB"/>
    <w:rsid w:val="00F44C3D"/>
    <w:rsid w:val="00F502F3"/>
    <w:rsid w:val="00F528CE"/>
    <w:rsid w:val="00F621C8"/>
    <w:rsid w:val="00F650A5"/>
    <w:rsid w:val="00F70691"/>
    <w:rsid w:val="00FB736A"/>
    <w:rsid w:val="00FB7A91"/>
    <w:rsid w:val="00FC0578"/>
    <w:rsid w:val="00FC4132"/>
    <w:rsid w:val="00FD092C"/>
    <w:rsid w:val="00FD455F"/>
    <w:rsid w:val="00FE2BF9"/>
    <w:rsid w:val="00FE4FE4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9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7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7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9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7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7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RegData/etudes/STUD/2016/578967/IPOL_STU(2016)578967_EN.pdf" TargetMode="External"/><Relationship Id="rId13" Type="http://schemas.openxmlformats.org/officeDocument/2006/relationships/hyperlink" Target="http://dx.doi.org/10.1016/j.jsbmb.2010.10.004" TargetMode="External"/><Relationship Id="rId18" Type="http://schemas.openxmlformats.org/officeDocument/2006/relationships/hyperlink" Target="http://dx.doi.org/10.1016/j.yrtph.2016.06.0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food/safety/rasff/portal/index_en.htm" TargetMode="External"/><Relationship Id="rId12" Type="http://schemas.openxmlformats.org/officeDocument/2006/relationships/hyperlink" Target="http://dx.doi.org/10.1016/j.fct.2016.01.009" TargetMode="External"/><Relationship Id="rId17" Type="http://schemas.openxmlformats.org/officeDocument/2006/relationships/hyperlink" Target="http://dx.doi.org/10.1016/j.yrtph.2013.10.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16/j.yrtph.2013.08.01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016/j.yrtph.2013.01.002" TargetMode="External"/><Relationship Id="rId11" Type="http://schemas.openxmlformats.org/officeDocument/2006/relationships/hyperlink" Target="http://dx.doi.org/10.1021/acs.est.5b049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yrtph.2013.05.007" TargetMode="External"/><Relationship Id="rId10" Type="http://schemas.openxmlformats.org/officeDocument/2006/relationships/hyperlink" Target="http://dx.doi.org/10.1016/j.foodcont.2014.05.04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080/10408390500295490" TargetMode="External"/><Relationship Id="rId14" Type="http://schemas.openxmlformats.org/officeDocument/2006/relationships/hyperlink" Target="http://dx.doi.org/10.1136/jech-2013-202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536C-B5D9-45B4-AC61-825D6812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WIV-ISP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Bossuyt, Melissa</dc:creator>
  <cp:lastModifiedBy>Van Bossuyt, Melissa</cp:lastModifiedBy>
  <cp:revision>2</cp:revision>
  <cp:lastPrinted>2016-12-16T18:02:00Z</cp:lastPrinted>
  <dcterms:created xsi:type="dcterms:W3CDTF">2016-12-29T01:40:00Z</dcterms:created>
  <dcterms:modified xsi:type="dcterms:W3CDTF">2016-12-29T01:40:00Z</dcterms:modified>
</cp:coreProperties>
</file>