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2A79" w14:textId="41243C87" w:rsidR="004C25D1" w:rsidRDefault="004C25D1" w:rsidP="004C25D1">
      <w:pPr>
        <w:spacing w:line="480" w:lineRule="auto"/>
        <w:rPr>
          <w:b/>
          <w:sz w:val="28"/>
        </w:rPr>
      </w:pPr>
      <w:r>
        <w:rPr>
          <w:b/>
          <w:sz w:val="28"/>
        </w:rPr>
        <w:t>(Q)SAR tools for priority setting: a case study with printed paper and board food contact material substances</w:t>
      </w:r>
    </w:p>
    <w:p w14:paraId="29A850FB" w14:textId="77777777" w:rsidR="00386E2E" w:rsidRDefault="00386E2E" w:rsidP="000C2B03">
      <w:pPr>
        <w:spacing w:after="0" w:line="480" w:lineRule="auto"/>
        <w:jc w:val="both"/>
        <w:rPr>
          <w:sz w:val="24"/>
        </w:rPr>
      </w:pPr>
    </w:p>
    <w:p w14:paraId="39376BAD" w14:textId="77777777" w:rsidR="006871C3" w:rsidRPr="000C29E3" w:rsidRDefault="006871C3" w:rsidP="000C2B03">
      <w:pPr>
        <w:spacing w:after="0" w:line="480" w:lineRule="auto"/>
        <w:jc w:val="both"/>
        <w:rPr>
          <w:sz w:val="24"/>
        </w:rPr>
      </w:pPr>
      <w:r w:rsidRPr="000C29E3">
        <w:rPr>
          <w:sz w:val="24"/>
        </w:rPr>
        <w:t>Melissa Van Bossuyt</w:t>
      </w:r>
      <w:r w:rsidRPr="000C29E3">
        <w:rPr>
          <w:sz w:val="24"/>
          <w:vertAlign w:val="superscript"/>
        </w:rPr>
        <w:t>1,</w:t>
      </w:r>
      <w:r w:rsidR="00DD3BFA">
        <w:rPr>
          <w:sz w:val="24"/>
          <w:vertAlign w:val="superscript"/>
        </w:rPr>
        <w:t>2</w:t>
      </w:r>
      <w:r w:rsidRPr="000C29E3">
        <w:rPr>
          <w:sz w:val="24"/>
          <w:vertAlign w:val="superscript"/>
        </w:rPr>
        <w:t>*</w:t>
      </w:r>
      <w:r w:rsidRPr="000C29E3">
        <w:rPr>
          <w:sz w:val="24"/>
        </w:rPr>
        <w:t>, Els Van Hoeck</w:t>
      </w:r>
      <w:r w:rsidRPr="000C29E3">
        <w:rPr>
          <w:sz w:val="24"/>
          <w:vertAlign w:val="superscript"/>
        </w:rPr>
        <w:t>1</w:t>
      </w:r>
      <w:r w:rsidRPr="000C29E3">
        <w:rPr>
          <w:sz w:val="24"/>
        </w:rPr>
        <w:t xml:space="preserve">, </w:t>
      </w:r>
      <w:r w:rsidR="000C29E3" w:rsidRPr="000C29E3">
        <w:rPr>
          <w:sz w:val="24"/>
        </w:rPr>
        <w:t>Giuseppa Raitano</w:t>
      </w:r>
      <w:r w:rsidR="00DD3BFA">
        <w:rPr>
          <w:sz w:val="24"/>
          <w:vertAlign w:val="superscript"/>
        </w:rPr>
        <w:t>3</w:t>
      </w:r>
      <w:r w:rsidR="000C29E3" w:rsidRPr="000C29E3">
        <w:rPr>
          <w:sz w:val="24"/>
        </w:rPr>
        <w:t xml:space="preserve">, </w:t>
      </w:r>
      <w:r w:rsidR="006019C3">
        <w:rPr>
          <w:sz w:val="24"/>
        </w:rPr>
        <w:t>Serena Manganelli</w:t>
      </w:r>
      <w:r w:rsidR="006019C3">
        <w:rPr>
          <w:sz w:val="24"/>
          <w:vertAlign w:val="superscript"/>
        </w:rPr>
        <w:t>3</w:t>
      </w:r>
      <w:r w:rsidR="006019C3">
        <w:rPr>
          <w:sz w:val="24"/>
        </w:rPr>
        <w:t xml:space="preserve">, </w:t>
      </w:r>
      <w:r w:rsidR="000C29E3" w:rsidRPr="000C29E3">
        <w:rPr>
          <w:sz w:val="24"/>
        </w:rPr>
        <w:t>Els Braeken</w:t>
      </w:r>
      <w:r w:rsidR="00DD3BFA">
        <w:rPr>
          <w:sz w:val="24"/>
          <w:vertAlign w:val="superscript"/>
        </w:rPr>
        <w:t>4</w:t>
      </w:r>
      <w:r w:rsidR="000C29E3" w:rsidRPr="000C29E3">
        <w:rPr>
          <w:sz w:val="24"/>
        </w:rPr>
        <w:t xml:space="preserve">, </w:t>
      </w:r>
      <w:r w:rsidR="00FC36BA">
        <w:rPr>
          <w:sz w:val="24"/>
        </w:rPr>
        <w:t>Gamze Ates</w:t>
      </w:r>
      <w:r w:rsidR="00DD3BFA">
        <w:rPr>
          <w:sz w:val="24"/>
          <w:vertAlign w:val="superscript"/>
        </w:rPr>
        <w:t>2</w:t>
      </w:r>
      <w:r w:rsidR="00FC36BA">
        <w:rPr>
          <w:sz w:val="24"/>
        </w:rPr>
        <w:t xml:space="preserve">, </w:t>
      </w:r>
      <w:r w:rsidRPr="000C29E3">
        <w:rPr>
          <w:sz w:val="24"/>
        </w:rPr>
        <w:t>Tamara Vanhaecke</w:t>
      </w:r>
      <w:r w:rsidR="00DD3BFA">
        <w:rPr>
          <w:sz w:val="24"/>
          <w:vertAlign w:val="superscript"/>
        </w:rPr>
        <w:t>2</w:t>
      </w:r>
      <w:r w:rsidRPr="000C29E3">
        <w:rPr>
          <w:sz w:val="24"/>
        </w:rPr>
        <w:t xml:space="preserve">, </w:t>
      </w:r>
      <w:r w:rsidR="000C29E3" w:rsidRPr="000C29E3">
        <w:rPr>
          <w:sz w:val="24"/>
        </w:rPr>
        <w:t>Sabine Van Miert</w:t>
      </w:r>
      <w:r w:rsidR="00DD3BFA">
        <w:rPr>
          <w:sz w:val="24"/>
          <w:vertAlign w:val="superscript"/>
        </w:rPr>
        <w:t>4</w:t>
      </w:r>
      <w:r w:rsidR="000C29E3" w:rsidRPr="000C29E3">
        <w:rPr>
          <w:sz w:val="24"/>
        </w:rPr>
        <w:t>, Emilio Benfenati</w:t>
      </w:r>
      <w:r w:rsidR="00DD3BFA">
        <w:rPr>
          <w:sz w:val="24"/>
          <w:vertAlign w:val="superscript"/>
        </w:rPr>
        <w:t>3</w:t>
      </w:r>
      <w:r w:rsidR="000C29E3" w:rsidRPr="000C29E3">
        <w:rPr>
          <w:sz w:val="24"/>
        </w:rPr>
        <w:t xml:space="preserve">, </w:t>
      </w:r>
      <w:r w:rsidR="00B978EA" w:rsidRPr="000C29E3">
        <w:rPr>
          <w:sz w:val="24"/>
        </w:rPr>
        <w:t>Birgit Mertens</w:t>
      </w:r>
      <w:r w:rsidR="00B978EA" w:rsidRPr="000C29E3">
        <w:rPr>
          <w:sz w:val="24"/>
          <w:vertAlign w:val="superscript"/>
        </w:rPr>
        <w:t>1°</w:t>
      </w:r>
      <w:r w:rsidR="00B978EA">
        <w:rPr>
          <w:sz w:val="24"/>
          <w:vertAlign w:val="superscript"/>
        </w:rPr>
        <w:t xml:space="preserve"> </w:t>
      </w:r>
      <w:r w:rsidRPr="000C29E3">
        <w:rPr>
          <w:sz w:val="24"/>
        </w:rPr>
        <w:t xml:space="preserve">and </w:t>
      </w:r>
      <w:r w:rsidR="00B978EA" w:rsidRPr="000C29E3">
        <w:rPr>
          <w:sz w:val="24"/>
        </w:rPr>
        <w:t>Vera Rogiers</w:t>
      </w:r>
      <w:r w:rsidR="00B978EA">
        <w:rPr>
          <w:sz w:val="24"/>
          <w:vertAlign w:val="superscript"/>
        </w:rPr>
        <w:t>2</w:t>
      </w:r>
      <w:r w:rsidR="00B978EA" w:rsidRPr="000C29E3">
        <w:rPr>
          <w:sz w:val="24"/>
          <w:vertAlign w:val="superscript"/>
        </w:rPr>
        <w:t>°</w:t>
      </w:r>
    </w:p>
    <w:p w14:paraId="1E2A920F" w14:textId="77777777" w:rsidR="006871C3" w:rsidRPr="000C29E3" w:rsidRDefault="006871C3" w:rsidP="00245958">
      <w:pPr>
        <w:spacing w:after="0" w:line="480" w:lineRule="auto"/>
      </w:pPr>
    </w:p>
    <w:p w14:paraId="6232047E" w14:textId="77777777" w:rsidR="006871C3" w:rsidRDefault="006871C3" w:rsidP="000C2B03">
      <w:pPr>
        <w:spacing w:after="0" w:line="480" w:lineRule="auto"/>
        <w:jc w:val="both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 xml:space="preserve"> Department of Food, Medicines and Consumer Safety, Scientific Institute of Public Health, Juliette Wytsmanstraat 14, Brussels, Belgium</w:t>
      </w:r>
    </w:p>
    <w:p w14:paraId="33E334B5" w14:textId="77777777" w:rsidR="00D81BE2" w:rsidRDefault="006871C3" w:rsidP="000C2B03">
      <w:pPr>
        <w:spacing w:after="0" w:line="480" w:lineRule="auto"/>
        <w:jc w:val="both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 xml:space="preserve"> </w:t>
      </w:r>
      <w:r w:rsidR="00CA2369" w:rsidRPr="00CA2369">
        <w:rPr>
          <w:i/>
        </w:rPr>
        <w:t xml:space="preserve">Department of In Vitro Toxicology and Dermato-cosmetology, Vrije Universiteit Brussel, Laarbeeklaan 103, Brussels, Belgium </w:t>
      </w:r>
    </w:p>
    <w:p w14:paraId="2E69E2EA" w14:textId="77777777" w:rsidR="00CA2369" w:rsidRPr="00754F54" w:rsidRDefault="002D4E29" w:rsidP="000C2B03">
      <w:pPr>
        <w:spacing w:after="0" w:line="480" w:lineRule="auto"/>
        <w:jc w:val="both"/>
        <w:rPr>
          <w:i/>
          <w:lang w:val="it-IT"/>
        </w:rPr>
      </w:pPr>
      <w:r w:rsidRPr="00754F54">
        <w:rPr>
          <w:i/>
          <w:vertAlign w:val="superscript"/>
          <w:lang w:val="it-IT"/>
        </w:rPr>
        <w:t xml:space="preserve">3 </w:t>
      </w:r>
      <w:r w:rsidR="00CA2369" w:rsidRPr="00754F54">
        <w:rPr>
          <w:i/>
          <w:lang w:val="it-IT"/>
        </w:rPr>
        <w:t>Department of Environmental Health Sciences, Instituto di Ricerche Farmacologiche Mario Negri, Via Giuseppe La Masa 19, Milan, Italy</w:t>
      </w:r>
    </w:p>
    <w:p w14:paraId="2F32F8B6" w14:textId="77777777" w:rsidR="00CA2369" w:rsidRPr="00CA2369" w:rsidRDefault="00CA2369" w:rsidP="000C2B03">
      <w:pPr>
        <w:spacing w:after="0" w:line="480" w:lineRule="auto"/>
        <w:jc w:val="both"/>
        <w:rPr>
          <w:i/>
          <w:lang w:val="nl-NL"/>
        </w:rPr>
      </w:pPr>
      <w:r w:rsidRPr="00754F54">
        <w:rPr>
          <w:i/>
          <w:lang w:val="it-IT"/>
        </w:rPr>
        <w:t xml:space="preserve"> </w:t>
      </w:r>
      <w:r w:rsidR="002D4E29" w:rsidRPr="00CA2369">
        <w:rPr>
          <w:i/>
          <w:vertAlign w:val="superscript"/>
          <w:lang w:val="nl-NL"/>
        </w:rPr>
        <w:t>4</w:t>
      </w:r>
      <w:r w:rsidR="00D81BE2" w:rsidRPr="00CA2369">
        <w:rPr>
          <w:i/>
          <w:vertAlign w:val="superscript"/>
          <w:lang w:val="nl-NL"/>
        </w:rPr>
        <w:t xml:space="preserve"> </w:t>
      </w:r>
      <w:r w:rsidRPr="00CA2369">
        <w:rPr>
          <w:i/>
          <w:lang w:val="nl-NL"/>
        </w:rPr>
        <w:t>Thomas More Kempen, Kleinhoefstraat 4, Geel, Belgium</w:t>
      </w:r>
    </w:p>
    <w:p w14:paraId="517C1F74" w14:textId="77777777" w:rsidR="006871C3" w:rsidRPr="00CA2369" w:rsidRDefault="006871C3" w:rsidP="00245958">
      <w:pPr>
        <w:spacing w:after="0" w:line="480" w:lineRule="auto"/>
        <w:rPr>
          <w:lang w:val="nl-NL"/>
        </w:rPr>
      </w:pPr>
    </w:p>
    <w:p w14:paraId="21CF8DF8" w14:textId="2C262F4B" w:rsidR="006871C3" w:rsidRPr="00025D23" w:rsidRDefault="006871C3" w:rsidP="00245958">
      <w:pPr>
        <w:spacing w:after="0" w:line="480" w:lineRule="auto"/>
        <w:rPr>
          <w:sz w:val="24"/>
        </w:rPr>
      </w:pPr>
      <w:r w:rsidRPr="00025D23">
        <w:rPr>
          <w:sz w:val="24"/>
        </w:rPr>
        <w:t>° Equally contributing</w:t>
      </w:r>
      <w:r w:rsidR="00251EAB">
        <w:rPr>
          <w:sz w:val="24"/>
        </w:rPr>
        <w:t xml:space="preserve"> last</w:t>
      </w:r>
      <w:r w:rsidRPr="00025D23">
        <w:rPr>
          <w:sz w:val="24"/>
        </w:rPr>
        <w:t xml:space="preserve"> authors</w:t>
      </w:r>
    </w:p>
    <w:p w14:paraId="3645B744" w14:textId="7AE662F2" w:rsidR="00EB2F1C" w:rsidRPr="00EB2F1C" w:rsidRDefault="006871C3" w:rsidP="00245958">
      <w:pPr>
        <w:spacing w:after="0" w:line="480" w:lineRule="auto"/>
        <w:rPr>
          <w:sz w:val="24"/>
          <w:lang w:val="fr-FR"/>
        </w:rPr>
      </w:pPr>
      <w:r w:rsidRPr="00025D23">
        <w:rPr>
          <w:sz w:val="24"/>
        </w:rPr>
        <w:t>*</w:t>
      </w:r>
      <w:r w:rsidRPr="00025D23">
        <w:rPr>
          <w:i/>
          <w:sz w:val="24"/>
        </w:rPr>
        <w:t xml:space="preserve"> </w:t>
      </w:r>
      <w:r w:rsidRPr="00025D23">
        <w:rPr>
          <w:sz w:val="24"/>
        </w:rPr>
        <w:t xml:space="preserve">Corresponding author. </w:t>
      </w:r>
      <w:r w:rsidR="00F3490D" w:rsidRPr="00CE4445">
        <w:rPr>
          <w:sz w:val="24"/>
          <w:lang w:val="fr-FR"/>
        </w:rPr>
        <w:t>E-mail</w:t>
      </w:r>
      <w:r w:rsidRPr="00CE4445">
        <w:rPr>
          <w:sz w:val="24"/>
          <w:lang w:val="fr-FR"/>
        </w:rPr>
        <w:t>: Melissa.VanBossuyt@wiv-isp.be</w:t>
      </w:r>
      <w:r w:rsidR="00EB2F1C">
        <w:rPr>
          <w:b/>
          <w:sz w:val="24"/>
          <w:lang w:val="fr-FR"/>
        </w:rPr>
        <w:br w:type="page"/>
      </w:r>
    </w:p>
    <w:p w14:paraId="495A386A" w14:textId="6F9B5CD8" w:rsidR="006B208D" w:rsidRPr="00EA37F5" w:rsidRDefault="006B208D" w:rsidP="001077B1">
      <w:pPr>
        <w:pageBreakBefore/>
        <w:spacing w:after="0" w:line="480" w:lineRule="auto"/>
        <w:rPr>
          <w:b/>
          <w:sz w:val="24"/>
        </w:rPr>
      </w:pPr>
      <w:r w:rsidRPr="00EA37F5">
        <w:rPr>
          <w:b/>
          <w:sz w:val="24"/>
        </w:rPr>
        <w:lastRenderedPageBreak/>
        <w:t xml:space="preserve">Abstract  </w:t>
      </w:r>
    </w:p>
    <w:p w14:paraId="25331CAA" w14:textId="1C25BB2F" w:rsidR="001E4F73" w:rsidRDefault="00927404" w:rsidP="00D44696">
      <w:pPr>
        <w:spacing w:after="0" w:line="480" w:lineRule="auto"/>
        <w:jc w:val="both"/>
      </w:pPr>
      <w:r w:rsidRPr="00990312">
        <w:t xml:space="preserve">Over the last years, </w:t>
      </w:r>
      <w:r w:rsidR="000C7A3C" w:rsidRPr="00990312">
        <w:t xml:space="preserve">more stringent </w:t>
      </w:r>
      <w:r w:rsidR="001E44A7" w:rsidRPr="00990312">
        <w:t xml:space="preserve">safety </w:t>
      </w:r>
      <w:r w:rsidR="000C7A3C" w:rsidRPr="00990312">
        <w:t>requirements for</w:t>
      </w:r>
      <w:r w:rsidR="001E44A7" w:rsidRPr="00990312">
        <w:t xml:space="preserve"> an</w:t>
      </w:r>
      <w:r w:rsidR="001E6CD0" w:rsidRPr="00990312">
        <w:t xml:space="preserve"> increasing number of chemicals </w:t>
      </w:r>
      <w:r w:rsidR="00503730" w:rsidRPr="00990312">
        <w:t>across many regulatory fields (</w:t>
      </w:r>
      <w:r w:rsidR="0073453A" w:rsidRPr="00990312">
        <w:t xml:space="preserve">e.g. </w:t>
      </w:r>
      <w:r w:rsidR="00503730" w:rsidRPr="00990312">
        <w:t>industrial chemicals, pharmaceuticals, food, cosmetics,.</w:t>
      </w:r>
      <w:r w:rsidR="007B490C" w:rsidRPr="00990312">
        <w:t>.</w:t>
      </w:r>
      <w:r w:rsidR="00503730" w:rsidRPr="00990312">
        <w:t>.)</w:t>
      </w:r>
      <w:r w:rsidR="00225982" w:rsidRPr="00990312">
        <w:t xml:space="preserve"> </w:t>
      </w:r>
      <w:r w:rsidR="00FF364C" w:rsidRPr="00990312">
        <w:t>have</w:t>
      </w:r>
      <w:r w:rsidRPr="00990312">
        <w:t xml:space="preserve"> triggered the need for</w:t>
      </w:r>
      <w:r w:rsidR="00503730" w:rsidRPr="00990312">
        <w:t xml:space="preserve"> an efficient </w:t>
      </w:r>
      <w:r w:rsidR="0070297B" w:rsidRPr="00990312">
        <w:t>scre</w:t>
      </w:r>
      <w:r w:rsidR="0070297B" w:rsidRPr="00EF717D">
        <w:t xml:space="preserve">ening </w:t>
      </w:r>
      <w:r w:rsidR="00503730" w:rsidRPr="00EF717D">
        <w:t xml:space="preserve">strategy to prioritize </w:t>
      </w:r>
      <w:r w:rsidR="000C7A3C">
        <w:t xml:space="preserve">the </w:t>
      </w:r>
      <w:r w:rsidR="00503730" w:rsidRPr="00EF717D">
        <w:t>substances of highest concern.</w:t>
      </w:r>
      <w:r w:rsidR="001E6CD0" w:rsidRPr="00EF717D">
        <w:t xml:space="preserve"> </w:t>
      </w:r>
      <w:r w:rsidR="000D226A">
        <w:t>In this context,</w:t>
      </w:r>
      <w:r w:rsidR="001E6CD0" w:rsidRPr="00EF717D">
        <w:t xml:space="preserve"> </w:t>
      </w:r>
      <w:r w:rsidR="00503730" w:rsidRPr="00EF717D">
        <w:t xml:space="preserve">alternative methods </w:t>
      </w:r>
      <w:r w:rsidR="001E6CD0" w:rsidRPr="00EF717D">
        <w:t xml:space="preserve">such as </w:t>
      </w:r>
      <w:r w:rsidR="001E6CD0" w:rsidRPr="00EF717D">
        <w:rPr>
          <w:i/>
        </w:rPr>
        <w:t>in silico</w:t>
      </w:r>
      <w:r w:rsidR="001E6CD0" w:rsidRPr="00EF717D">
        <w:t xml:space="preserve"> (</w:t>
      </w:r>
      <w:r w:rsidR="00F523A1" w:rsidRPr="00EF717D">
        <w:t xml:space="preserve">i.e. </w:t>
      </w:r>
      <w:r w:rsidR="001E6CD0" w:rsidRPr="00EF717D">
        <w:t>computational)</w:t>
      </w:r>
      <w:r w:rsidR="00F523A1" w:rsidRPr="00EF717D">
        <w:t xml:space="preserve"> techniques</w:t>
      </w:r>
      <w:r w:rsidR="000D226A">
        <w:t xml:space="preserve"> gain more and more importance</w:t>
      </w:r>
      <w:r w:rsidR="00503730" w:rsidRPr="00EF717D">
        <w:t xml:space="preserve">. </w:t>
      </w:r>
      <w:r w:rsidR="00734261" w:rsidRPr="00EF717D">
        <w:t xml:space="preserve">In the current study, </w:t>
      </w:r>
      <w:r w:rsidR="00503730" w:rsidRPr="00EF717D">
        <w:t xml:space="preserve">a new prioritization strategy for </w:t>
      </w:r>
      <w:r w:rsidR="005E3EDA">
        <w:t xml:space="preserve">identifying </w:t>
      </w:r>
      <w:r w:rsidR="00503730" w:rsidRPr="00EF717D">
        <w:t>potentially mutagenic substances was developed based on the combination</w:t>
      </w:r>
      <w:r w:rsidR="00F523A1" w:rsidRPr="00EF717D">
        <w:t xml:space="preserve"> of </w:t>
      </w:r>
      <w:r>
        <w:t xml:space="preserve">multiple </w:t>
      </w:r>
      <w:r w:rsidR="00F523A1" w:rsidRPr="00EF717D">
        <w:t>(quantitative) structure-activity relationship</w:t>
      </w:r>
      <w:r w:rsidR="00503730" w:rsidRPr="00EF717D">
        <w:t xml:space="preserve"> </w:t>
      </w:r>
      <w:r w:rsidR="00F523A1" w:rsidRPr="00EF717D">
        <w:t>(</w:t>
      </w:r>
      <w:r w:rsidR="00503730" w:rsidRPr="00EF717D">
        <w:t>(Q)SAR</w:t>
      </w:r>
      <w:r w:rsidR="00F523A1" w:rsidRPr="00EF717D">
        <w:t>)</w:t>
      </w:r>
      <w:r w:rsidR="00503730" w:rsidRPr="00EF717D">
        <w:t xml:space="preserve"> tools. </w:t>
      </w:r>
      <w:r w:rsidR="00F523A1" w:rsidRPr="00EF717D">
        <w:t xml:space="preserve">Non-evaluated </w:t>
      </w:r>
      <w:r w:rsidR="008D0258">
        <w:t>substances</w:t>
      </w:r>
      <w:r w:rsidR="00CC009D">
        <w:t xml:space="preserve"> used in</w:t>
      </w:r>
      <w:r w:rsidR="008D0258">
        <w:t xml:space="preserve"> </w:t>
      </w:r>
      <w:r w:rsidR="00F523A1" w:rsidRPr="00EF717D">
        <w:t>pr</w:t>
      </w:r>
      <w:r w:rsidR="00503730" w:rsidRPr="00EF717D">
        <w:t xml:space="preserve">inted paper and board food contact materials (FCM) were </w:t>
      </w:r>
      <w:r w:rsidR="00CC009D">
        <w:t>selected</w:t>
      </w:r>
      <w:r w:rsidR="00CC009D" w:rsidRPr="00EF717D">
        <w:t xml:space="preserve"> </w:t>
      </w:r>
      <w:r w:rsidR="00CC009D">
        <w:t>for</w:t>
      </w:r>
      <w:r w:rsidR="00CC009D" w:rsidRPr="00EF717D">
        <w:t xml:space="preserve"> </w:t>
      </w:r>
      <w:r w:rsidR="00CC009D">
        <w:t>a case study</w:t>
      </w:r>
      <w:r>
        <w:t xml:space="preserve">. By applying </w:t>
      </w:r>
      <w:r w:rsidR="000D226A">
        <w:t>our</w:t>
      </w:r>
      <w:r>
        <w:t xml:space="preserve"> strategy,</w:t>
      </w:r>
      <w:r w:rsidR="00F523A1" w:rsidRPr="00EF717D">
        <w:t xml:space="preserve"> </w:t>
      </w:r>
      <w:r w:rsidR="00D44696" w:rsidRPr="00EF717D">
        <w:t xml:space="preserve">106 </w:t>
      </w:r>
      <w:r>
        <w:t xml:space="preserve">out of the </w:t>
      </w:r>
      <w:r w:rsidR="00CC009D">
        <w:t xml:space="preserve">1723 </w:t>
      </w:r>
      <w:r w:rsidR="00D44696" w:rsidRPr="00EF717D">
        <w:t xml:space="preserve">substances </w:t>
      </w:r>
      <w:r>
        <w:t xml:space="preserve">were assigned </w:t>
      </w:r>
      <w:r w:rsidR="000D226A">
        <w:t>‘</w:t>
      </w:r>
      <w:r w:rsidR="00D44696" w:rsidRPr="00EF717D">
        <w:t xml:space="preserve">high </w:t>
      </w:r>
      <w:r>
        <w:t>priority</w:t>
      </w:r>
      <w:r w:rsidR="000D226A">
        <w:t>’</w:t>
      </w:r>
      <w:r>
        <w:t xml:space="preserve"> as they were</w:t>
      </w:r>
      <w:r w:rsidR="00D44696" w:rsidRPr="00EF717D">
        <w:t xml:space="preserve"> predicted </w:t>
      </w:r>
      <w:r w:rsidR="00F523A1" w:rsidRPr="00EF717D">
        <w:t>mutagenic by</w:t>
      </w:r>
      <w:r w:rsidR="00D44696" w:rsidRPr="00EF717D">
        <w:t xml:space="preserve"> 4 </w:t>
      </w:r>
      <w:r w:rsidR="00251EAB">
        <w:t>different</w:t>
      </w:r>
      <w:r w:rsidR="00D44696" w:rsidRPr="00EF717D">
        <w:t xml:space="preserve"> (Q)SAR models. </w:t>
      </w:r>
      <w:r w:rsidR="000E5FCC">
        <w:t>I</w:t>
      </w:r>
      <w:r w:rsidR="00D44696" w:rsidRPr="00EF717D">
        <w:t xml:space="preserve">nformation </w:t>
      </w:r>
      <w:r w:rsidR="00F523A1" w:rsidRPr="00EF717D">
        <w:t>provided within</w:t>
      </w:r>
      <w:r w:rsidR="00D44696" w:rsidRPr="00EF717D">
        <w:t xml:space="preserve"> the models allowed to </w:t>
      </w:r>
      <w:r w:rsidR="0055546E" w:rsidRPr="0055546E">
        <w:t xml:space="preserve">identify 53 substances for which Ames mutagenicity </w:t>
      </w:r>
      <w:r w:rsidR="00F00519">
        <w:t xml:space="preserve">prediction already </w:t>
      </w:r>
      <w:r w:rsidR="0055546E" w:rsidRPr="0055546E">
        <w:t xml:space="preserve">has </w:t>
      </w:r>
      <w:r w:rsidR="0055546E" w:rsidRPr="0055546E">
        <w:rPr>
          <w:i/>
        </w:rPr>
        <w:t>in vitro</w:t>
      </w:r>
      <w:r w:rsidR="0055546E" w:rsidRPr="0055546E">
        <w:t xml:space="preserve"> </w:t>
      </w:r>
      <w:r w:rsidR="00F00519">
        <w:t>Ames test results</w:t>
      </w:r>
      <w:r w:rsidR="0055546E" w:rsidRPr="0055546E">
        <w:t>.</w:t>
      </w:r>
      <w:r w:rsidR="00D44696" w:rsidRPr="00EF717D">
        <w:t xml:space="preserve"> </w:t>
      </w:r>
      <w:r w:rsidR="0065713C">
        <w:t>For further prioritization, additional support could</w:t>
      </w:r>
      <w:r w:rsidR="002453F6">
        <w:t xml:space="preserve"> be obtained by applying</w:t>
      </w:r>
      <w:r w:rsidR="000E5FCC">
        <w:t xml:space="preserve"> local </w:t>
      </w:r>
      <w:r w:rsidR="002453F6">
        <w:t>i.e.</w:t>
      </w:r>
      <w:r w:rsidR="000E5FCC">
        <w:t xml:space="preserve"> specific models</w:t>
      </w:r>
      <w:r w:rsidR="002453F6">
        <w:t>, as</w:t>
      </w:r>
      <w:r w:rsidR="000E5FCC">
        <w:t xml:space="preserve"> demonstrated </w:t>
      </w:r>
      <w:r w:rsidR="002453F6">
        <w:t>here for</w:t>
      </w:r>
      <w:r w:rsidR="000E5FCC">
        <w:t xml:space="preserve"> aromatic azo </w:t>
      </w:r>
      <w:r w:rsidR="002453F6">
        <w:t>compounds</w:t>
      </w:r>
      <w:r w:rsidR="0065713C">
        <w:t>,</w:t>
      </w:r>
      <w:r w:rsidR="002453F6">
        <w:t xml:space="preserve"> typically found in printed paper and board FCM</w:t>
      </w:r>
      <w:r w:rsidR="000E5FCC">
        <w:t xml:space="preserve">. </w:t>
      </w:r>
      <w:r w:rsidR="00FC6E42">
        <w:t>The</w:t>
      </w:r>
      <w:r w:rsidR="00503730" w:rsidRPr="00EF717D">
        <w:t xml:space="preserve"> strategy </w:t>
      </w:r>
      <w:r w:rsidR="00FC6E42">
        <w:t xml:space="preserve">developed here </w:t>
      </w:r>
      <w:r w:rsidR="00503730" w:rsidRPr="00EF717D">
        <w:t xml:space="preserve">can </w:t>
      </w:r>
      <w:r w:rsidR="00D44696" w:rsidRPr="00EF717D">
        <w:t xml:space="preserve">easily be </w:t>
      </w:r>
      <w:r w:rsidR="008D0258">
        <w:t xml:space="preserve">applied </w:t>
      </w:r>
      <w:r w:rsidR="00D44696" w:rsidRPr="00EF717D">
        <w:t xml:space="preserve">to other </w:t>
      </w:r>
      <w:r w:rsidR="008D0258">
        <w:t xml:space="preserve">groups of </w:t>
      </w:r>
      <w:r w:rsidR="00D44696" w:rsidRPr="00EF717D">
        <w:t>chemical</w:t>
      </w:r>
      <w:r w:rsidR="008D0258">
        <w:t>s</w:t>
      </w:r>
      <w:r w:rsidR="00D44696" w:rsidRPr="00EF717D">
        <w:t xml:space="preserve"> facing the same </w:t>
      </w:r>
      <w:r w:rsidR="005E3EDA">
        <w:t>need</w:t>
      </w:r>
      <w:r w:rsidR="005E3EDA" w:rsidRPr="00EF717D">
        <w:t xml:space="preserve"> </w:t>
      </w:r>
      <w:r w:rsidR="00D44696" w:rsidRPr="00EF717D">
        <w:t>for priority ranking</w:t>
      </w:r>
      <w:r w:rsidR="0065133F">
        <w:t>.</w:t>
      </w:r>
      <w:r w:rsidR="006954CD">
        <w:t xml:space="preserve"> </w:t>
      </w:r>
    </w:p>
    <w:p w14:paraId="544DA8C9" w14:textId="77777777" w:rsidR="00266194" w:rsidRPr="00734261" w:rsidRDefault="00266194" w:rsidP="00D44696">
      <w:pPr>
        <w:spacing w:after="0" w:line="480" w:lineRule="auto"/>
        <w:jc w:val="both"/>
        <w:rPr>
          <w:highlight w:val="yellow"/>
        </w:rPr>
      </w:pPr>
    </w:p>
    <w:p w14:paraId="34DF7DA6" w14:textId="76AB6FD4" w:rsidR="0007244F" w:rsidRDefault="00266194" w:rsidP="00245958">
      <w:pPr>
        <w:spacing w:after="0" w:line="480" w:lineRule="auto"/>
        <w:rPr>
          <w:b/>
          <w:sz w:val="24"/>
        </w:rPr>
      </w:pPr>
      <w:r w:rsidRPr="00266194">
        <w:rPr>
          <w:b/>
          <w:sz w:val="24"/>
        </w:rPr>
        <w:t>Keywords</w:t>
      </w:r>
    </w:p>
    <w:p w14:paraId="37CDE5AE" w14:textId="0DB1D9FC" w:rsidR="00266194" w:rsidRPr="00266194" w:rsidRDefault="005B4279" w:rsidP="00245958">
      <w:pPr>
        <w:spacing w:after="0" w:line="480" w:lineRule="auto"/>
      </w:pPr>
      <w:r>
        <w:t>(Q)SAR;</w:t>
      </w:r>
      <w:r w:rsidR="001D6804">
        <w:t xml:space="preserve"> mutagenicity</w:t>
      </w:r>
      <w:r>
        <w:t xml:space="preserve">; </w:t>
      </w:r>
      <w:r w:rsidR="00DE6A9F">
        <w:t>prioriti</w:t>
      </w:r>
      <w:r w:rsidR="00371577">
        <w:t>z</w:t>
      </w:r>
      <w:r>
        <w:t>ation;</w:t>
      </w:r>
      <w:r w:rsidR="00266194">
        <w:t xml:space="preserve"> food </w:t>
      </w:r>
      <w:r>
        <w:t>contact materials;</w:t>
      </w:r>
      <w:r w:rsidR="001D6804">
        <w:t xml:space="preserve"> alternative methods</w:t>
      </w:r>
    </w:p>
    <w:p w14:paraId="7CE4259D" w14:textId="77777777" w:rsidR="006B208D" w:rsidRPr="001E4F73" w:rsidRDefault="006B208D" w:rsidP="001077B1">
      <w:pPr>
        <w:keepNext/>
        <w:pageBreakBefore/>
        <w:spacing w:after="0" w:line="480" w:lineRule="auto"/>
        <w:rPr>
          <w:b/>
          <w:sz w:val="24"/>
        </w:rPr>
      </w:pPr>
      <w:r w:rsidRPr="001E4F73">
        <w:rPr>
          <w:b/>
          <w:sz w:val="24"/>
        </w:rPr>
        <w:lastRenderedPageBreak/>
        <w:t>Abbreviations</w:t>
      </w:r>
    </w:p>
    <w:p w14:paraId="5783EFD8" w14:textId="16C1B5BD" w:rsidR="00BF7234" w:rsidRDefault="00325621" w:rsidP="006400FD">
      <w:pPr>
        <w:spacing w:after="0" w:line="480" w:lineRule="auto"/>
        <w:jc w:val="both"/>
        <w:rPr>
          <w:b/>
          <w:sz w:val="24"/>
        </w:rPr>
      </w:pPr>
      <w:r>
        <w:t>AD</w:t>
      </w:r>
      <w:r w:rsidR="006400FD">
        <w:t>(I)</w:t>
      </w:r>
      <w:r>
        <w:t>, applicability domain</w:t>
      </w:r>
      <w:r w:rsidR="006400FD">
        <w:t xml:space="preserve"> (index)</w:t>
      </w:r>
      <w:r>
        <w:t xml:space="preserve">; </w:t>
      </w:r>
      <w:r w:rsidR="00DD6B09">
        <w:t xml:space="preserve">ECHA, European Chemicals Agency; </w:t>
      </w:r>
      <w:r w:rsidR="00517D7C">
        <w:t xml:space="preserve">EFSA, European Food Safety Authority; </w:t>
      </w:r>
      <w:r w:rsidR="00C41D23">
        <w:t xml:space="preserve">FACET, Flavours, Additives and food Contact materials Exposure Task; </w:t>
      </w:r>
      <w:r w:rsidR="00B65EAD">
        <w:t>FCM, food contact materials</w:t>
      </w:r>
      <w:r w:rsidR="00272E0F">
        <w:t xml:space="preserve">; </w:t>
      </w:r>
      <w:r w:rsidR="00C41D23">
        <w:t xml:space="preserve">FIG, FACET Industry Group; </w:t>
      </w:r>
      <w:r w:rsidR="00C5062F">
        <w:t xml:space="preserve">k-NN, </w:t>
      </w:r>
      <w:r w:rsidR="00C5062F" w:rsidRPr="00C5062F">
        <w:t xml:space="preserve">k-Nearest </w:t>
      </w:r>
      <w:r w:rsidR="00C5062F" w:rsidRPr="00C5062F">
        <w:rPr>
          <w:lang w:val="en-US"/>
        </w:rPr>
        <w:t>Neighbors</w:t>
      </w:r>
      <w:r w:rsidR="00C5062F">
        <w:rPr>
          <w:lang w:val="en-US"/>
        </w:rPr>
        <w:t>;</w:t>
      </w:r>
      <w:r w:rsidR="00C5062F">
        <w:t xml:space="preserve"> </w:t>
      </w:r>
      <w:r w:rsidR="0004578A">
        <w:t xml:space="preserve">IRFMN, </w:t>
      </w:r>
      <w:r w:rsidR="0004578A" w:rsidRPr="0004578A">
        <w:t>Instituto di Ricerche Farmacologiche Mario Negri</w:t>
      </w:r>
      <w:r w:rsidR="0004578A">
        <w:t xml:space="preserve">; </w:t>
      </w:r>
      <w:r w:rsidR="00FE0D5B">
        <w:t xml:space="preserve">(Q)SAR, (quantitative) structure-activity relationship; </w:t>
      </w:r>
      <w:r w:rsidR="00272E0F">
        <w:t>RASFF, Rapid Alert System for Food and Feed</w:t>
      </w:r>
      <w:r w:rsidR="00702848">
        <w:t xml:space="preserve">; </w:t>
      </w:r>
      <w:r w:rsidR="00852254">
        <w:t>REACH, Re</w:t>
      </w:r>
      <w:r w:rsidR="0004578A">
        <w:t>gistration, Evaluation, Authoris</w:t>
      </w:r>
      <w:r w:rsidR="00852254">
        <w:t xml:space="preserve">ation and restriction of Chemicals; </w:t>
      </w:r>
      <w:r w:rsidR="00003E03">
        <w:t xml:space="preserve">SA, structural alert; </w:t>
      </w:r>
      <w:r w:rsidR="00702848">
        <w:t>SMILES, simplified molecular-input line-entry system</w:t>
      </w:r>
      <w:r w:rsidR="00BF7234">
        <w:rPr>
          <w:b/>
          <w:sz w:val="24"/>
        </w:rPr>
        <w:br w:type="page"/>
      </w:r>
    </w:p>
    <w:p w14:paraId="7B951C63" w14:textId="77777777" w:rsidR="006871C3" w:rsidRPr="001E4F73" w:rsidRDefault="001E4F73" w:rsidP="004A2057">
      <w:pPr>
        <w:spacing w:after="0" w:line="480" w:lineRule="auto"/>
        <w:rPr>
          <w:b/>
          <w:sz w:val="24"/>
        </w:rPr>
      </w:pPr>
      <w:r>
        <w:rPr>
          <w:b/>
          <w:sz w:val="24"/>
        </w:rPr>
        <w:lastRenderedPageBreak/>
        <w:t>1. Introduction</w:t>
      </w:r>
    </w:p>
    <w:p w14:paraId="18DB1020" w14:textId="4D259986" w:rsidR="007E0498" w:rsidRDefault="005F2988" w:rsidP="00231E0B">
      <w:pPr>
        <w:tabs>
          <w:tab w:val="left" w:pos="3060"/>
        </w:tabs>
        <w:spacing w:after="0" w:line="480" w:lineRule="auto"/>
        <w:jc w:val="both"/>
      </w:pPr>
      <w:r w:rsidRPr="005C139D">
        <w:t>T</w:t>
      </w:r>
      <w:r w:rsidR="00A40964" w:rsidRPr="005C139D">
        <w:t>ogether with t</w:t>
      </w:r>
      <w:r w:rsidRPr="005C139D">
        <w:t>he</w:t>
      </w:r>
      <w:r w:rsidR="00056295" w:rsidRPr="005C139D">
        <w:t xml:space="preserve"> high and continuously growing</w:t>
      </w:r>
      <w:r w:rsidR="009F62A2" w:rsidRPr="005C139D">
        <w:t xml:space="preserve"> number of chemical substances</w:t>
      </w:r>
      <w:r w:rsidR="00596ECA" w:rsidRPr="005C139D">
        <w:t xml:space="preserve"> subject to </w:t>
      </w:r>
      <w:r w:rsidR="005C1C89" w:rsidRPr="005C139D">
        <w:t xml:space="preserve">safety </w:t>
      </w:r>
      <w:r w:rsidR="00A40964" w:rsidRPr="005C139D">
        <w:t xml:space="preserve">assessment, comes the need </w:t>
      </w:r>
      <w:r w:rsidR="003C2B08" w:rsidRPr="005C139D">
        <w:t>to establish</w:t>
      </w:r>
      <w:r w:rsidR="000A7DF7" w:rsidRPr="005C139D">
        <w:t xml:space="preserve"> adequate</w:t>
      </w:r>
      <w:r w:rsidR="00A40964" w:rsidRPr="005C139D">
        <w:t xml:space="preserve"> screening strategies to prioritize those of highest concern for human and</w:t>
      </w:r>
      <w:r w:rsidR="004D272B" w:rsidRPr="005C139D">
        <w:t>/or</w:t>
      </w:r>
      <w:r w:rsidR="00A40964" w:rsidRPr="005C139D">
        <w:t xml:space="preserve"> environmental health</w:t>
      </w:r>
      <w:r w:rsidR="009F62A2" w:rsidRPr="005C139D">
        <w:t>.</w:t>
      </w:r>
      <w:r w:rsidR="00A40964" w:rsidRPr="005C139D">
        <w:t xml:space="preserve"> One</w:t>
      </w:r>
      <w:r w:rsidR="000A7DF7" w:rsidRPr="005C139D">
        <w:t xml:space="preserve"> notable</w:t>
      </w:r>
      <w:r w:rsidR="00A40964" w:rsidRPr="005C139D">
        <w:t xml:space="preserve"> example of </w:t>
      </w:r>
      <w:r w:rsidR="000A7DF7" w:rsidRPr="005C139D">
        <w:t>a large</w:t>
      </w:r>
      <w:r w:rsidR="00A40964" w:rsidRPr="005C139D">
        <w:t xml:space="preserve"> group of substances </w:t>
      </w:r>
      <w:r w:rsidR="000A7DF7" w:rsidRPr="005C139D">
        <w:t xml:space="preserve">urgently </w:t>
      </w:r>
      <w:r w:rsidR="00E76CEB" w:rsidRPr="005C139D">
        <w:t>requiring</w:t>
      </w:r>
      <w:r w:rsidR="003F6741" w:rsidRPr="005C139D">
        <w:t xml:space="preserve"> a</w:t>
      </w:r>
      <w:r w:rsidR="000A7DF7" w:rsidRPr="005C139D">
        <w:t xml:space="preserve"> prioritization</w:t>
      </w:r>
      <w:r w:rsidR="003F6741" w:rsidRPr="005C139D">
        <w:t xml:space="preserve"> ranking</w:t>
      </w:r>
      <w:r w:rsidR="000A7DF7" w:rsidRPr="005C139D">
        <w:t xml:space="preserve"> for</w:t>
      </w:r>
      <w:r w:rsidR="00E76CEB" w:rsidRPr="005C139D">
        <w:t xml:space="preserve"> </w:t>
      </w:r>
      <w:r w:rsidR="000429C6" w:rsidRPr="005C139D">
        <w:t xml:space="preserve">in-depth </w:t>
      </w:r>
      <w:r w:rsidR="00E76CEB" w:rsidRPr="005C139D">
        <w:t xml:space="preserve">safety </w:t>
      </w:r>
      <w:r w:rsidR="00A40964" w:rsidRPr="005C139D">
        <w:t>evaluat</w:t>
      </w:r>
      <w:r w:rsidR="00E76CEB" w:rsidRPr="005C139D">
        <w:t>ion</w:t>
      </w:r>
      <w:r w:rsidR="003F6741" w:rsidRPr="005C139D">
        <w:t>,</w:t>
      </w:r>
      <w:r w:rsidR="00A40964" w:rsidRPr="005C139D">
        <w:t xml:space="preserve"> are </w:t>
      </w:r>
      <w:r w:rsidR="007111E8">
        <w:t xml:space="preserve">those used in </w:t>
      </w:r>
      <w:r w:rsidR="00A40964" w:rsidRPr="005C139D">
        <w:t xml:space="preserve">food contact materials (FCM). </w:t>
      </w:r>
      <w:r w:rsidR="007D5D16">
        <w:t xml:space="preserve">Food contamination due to </w:t>
      </w:r>
      <w:r w:rsidR="001556CC">
        <w:t>leakage</w:t>
      </w:r>
      <w:r w:rsidR="007D5D16">
        <w:t xml:space="preserve"> of </w:t>
      </w:r>
      <w:r w:rsidR="00DA0302">
        <w:t xml:space="preserve">substances from </w:t>
      </w:r>
      <w:r w:rsidR="005B14FD">
        <w:t>FCM</w:t>
      </w:r>
      <w:r w:rsidR="00B65EAD">
        <w:t xml:space="preserve"> </w:t>
      </w:r>
      <w:r w:rsidR="00DA0302">
        <w:t>has become</w:t>
      </w:r>
      <w:r w:rsidR="007D5D16">
        <w:t xml:space="preserve"> an increasing source of concern </w:t>
      </w:r>
      <w:r w:rsidR="00B933B5">
        <w:t>for</w:t>
      </w:r>
      <w:r w:rsidR="007D5D16">
        <w:t xml:space="preserve"> human health</w:t>
      </w:r>
      <w:r w:rsidR="001C2136">
        <w:t xml:space="preserve"> (</w:t>
      </w:r>
      <w:r w:rsidR="00340F3F">
        <w:t xml:space="preserve">Liu et al., 2016, </w:t>
      </w:r>
      <w:r w:rsidR="001C2136">
        <w:t>Muncke et al., 2014)</w:t>
      </w:r>
      <w:r w:rsidR="007D5D16">
        <w:t xml:space="preserve">. </w:t>
      </w:r>
      <w:r w:rsidR="00487523">
        <w:t>Since 2011, an upd</w:t>
      </w:r>
      <w:r w:rsidR="005C6EB1">
        <w:t>ated list of substances authoriz</w:t>
      </w:r>
      <w:r w:rsidR="00487523">
        <w:t>ed</w:t>
      </w:r>
      <w:r w:rsidR="00547D55">
        <w:t xml:space="preserve"> as starting product or additive for the manufacture of</w:t>
      </w:r>
      <w:r w:rsidR="00487523">
        <w:t xml:space="preserve"> plastic FCM is available (European Union, 2011). </w:t>
      </w:r>
      <w:r w:rsidR="007E0498">
        <w:t>F</w:t>
      </w:r>
      <w:r w:rsidR="00487523">
        <w:t xml:space="preserve">or non-plastic FCM, </w:t>
      </w:r>
      <w:r w:rsidR="007E0498">
        <w:t xml:space="preserve">however, </w:t>
      </w:r>
      <w:r w:rsidR="00487523">
        <w:t>no harmon</w:t>
      </w:r>
      <w:r w:rsidR="005C6EB1">
        <w:t>iz</w:t>
      </w:r>
      <w:r w:rsidR="00487523">
        <w:t>ed European regulation has been established yet.</w:t>
      </w:r>
      <w:r w:rsidR="00994A66">
        <w:t xml:space="preserve"> Although national legislation exists in several </w:t>
      </w:r>
      <w:r w:rsidR="003D2520">
        <w:t>Member States</w:t>
      </w:r>
      <w:r w:rsidR="00994A66">
        <w:t xml:space="preserve"> for different types of FCM, </w:t>
      </w:r>
      <w:r w:rsidR="007E0498">
        <w:t xml:space="preserve">a broad range of </w:t>
      </w:r>
      <w:r w:rsidR="00EA346A">
        <w:t>s</w:t>
      </w:r>
      <w:r w:rsidR="007E0498">
        <w:t xml:space="preserve">ubstances </w:t>
      </w:r>
      <w:r w:rsidR="006D2782">
        <w:t xml:space="preserve">currently used </w:t>
      </w:r>
      <w:r w:rsidR="0016208D">
        <w:t xml:space="preserve">in FCM </w:t>
      </w:r>
      <w:r w:rsidR="00013F92">
        <w:t>have</w:t>
      </w:r>
      <w:r w:rsidR="007E0498">
        <w:t xml:space="preserve"> not </w:t>
      </w:r>
      <w:r w:rsidR="00013F92">
        <w:t xml:space="preserve">been </w:t>
      </w:r>
      <w:r w:rsidR="007E0498">
        <w:t>evaluated for their safety</w:t>
      </w:r>
      <w:r w:rsidR="00330E69">
        <w:t xml:space="preserve"> (European Parliament, 2016)</w:t>
      </w:r>
      <w:r w:rsidR="007E0498">
        <w:t>.</w:t>
      </w:r>
      <w:r w:rsidR="006D2782">
        <w:t xml:space="preserve"> </w:t>
      </w:r>
    </w:p>
    <w:p w14:paraId="27065A1E" w14:textId="14803B1E" w:rsidR="00517D7C" w:rsidRPr="00990312" w:rsidRDefault="00305A0C" w:rsidP="00305A0C">
      <w:pPr>
        <w:spacing w:after="0" w:line="480" w:lineRule="auto"/>
        <w:jc w:val="both"/>
      </w:pPr>
      <w:r>
        <w:t>P</w:t>
      </w:r>
      <w:r w:rsidR="00C76DDE">
        <w:t>rinting inks and paper(board)</w:t>
      </w:r>
      <w:r>
        <w:t xml:space="preserve"> constitute </w:t>
      </w:r>
      <w:r w:rsidR="009E0321">
        <w:t>large</w:t>
      </w:r>
      <w:r>
        <w:t xml:space="preserve"> groups of non-plastic FCM</w:t>
      </w:r>
      <w:r w:rsidR="00994A66">
        <w:t xml:space="preserve"> substances</w:t>
      </w:r>
      <w:r w:rsidR="003D2520">
        <w:t>. They</w:t>
      </w:r>
      <w:r>
        <w:t xml:space="preserve"> are</w:t>
      </w:r>
      <w:r w:rsidR="00C76DDE">
        <w:t xml:space="preserve"> often used in combination</w:t>
      </w:r>
      <w:r w:rsidR="003D2520">
        <w:t xml:space="preserve"> and </w:t>
      </w:r>
      <w:r w:rsidR="0012723A">
        <w:t>have been</w:t>
      </w:r>
      <w:r>
        <w:t xml:space="preserve"> at the origin of multiple contamination issues</w:t>
      </w:r>
      <w:r w:rsidR="00F31AED" w:rsidRPr="00990312">
        <w:t>, examples being</w:t>
      </w:r>
      <w:r w:rsidRPr="00990312">
        <w:t xml:space="preserve"> </w:t>
      </w:r>
      <w:r w:rsidR="00DA0302" w:rsidRPr="00990312">
        <w:t xml:space="preserve">the </w:t>
      </w:r>
      <w:r w:rsidRPr="00990312">
        <w:t xml:space="preserve">isopropylthioxanthone and </w:t>
      </w:r>
      <w:r w:rsidR="00DA0302" w:rsidRPr="00990312">
        <w:t xml:space="preserve">the </w:t>
      </w:r>
      <w:r w:rsidRPr="00990312">
        <w:t xml:space="preserve">4-methylbenzophenone </w:t>
      </w:r>
      <w:r w:rsidR="003D2520" w:rsidRPr="00990312">
        <w:t>crise</w:t>
      </w:r>
      <w:r w:rsidR="00DA0302" w:rsidRPr="00990312">
        <w:t xml:space="preserve">s </w:t>
      </w:r>
      <w:r w:rsidRPr="00990312">
        <w:t>(</w:t>
      </w:r>
      <w:r w:rsidR="000560CC" w:rsidRPr="00990312">
        <w:t>EFSA, 2005 and</w:t>
      </w:r>
      <w:r w:rsidR="00C1763D" w:rsidRPr="00990312">
        <w:t xml:space="preserve"> 2009). </w:t>
      </w:r>
      <w:r w:rsidR="001E44A7" w:rsidRPr="00990312">
        <w:t>Most of the substances that can be present in printed paper and board FCM have not been officially evaluated for their potential toxicity. Consequently,</w:t>
      </w:r>
      <w:r w:rsidR="00E31A21" w:rsidRPr="00990312">
        <w:t xml:space="preserve"> these non-evaluated substances could give rise to future food crises</w:t>
      </w:r>
      <w:r w:rsidR="00E97809" w:rsidRPr="00990312">
        <w:t xml:space="preserve"> (Van Bossuyt et al., 2016)</w:t>
      </w:r>
      <w:r w:rsidR="00517D7C" w:rsidRPr="00990312">
        <w:t xml:space="preserve">. </w:t>
      </w:r>
    </w:p>
    <w:p w14:paraId="39BBF71B" w14:textId="5043D59B" w:rsidR="002E1193" w:rsidRDefault="00717A88" w:rsidP="00305A0C">
      <w:pPr>
        <w:spacing w:after="0" w:line="480" w:lineRule="auto"/>
        <w:jc w:val="both"/>
      </w:pPr>
      <w:r w:rsidRPr="00990312">
        <w:t>Regarding plastic FCM, t</w:t>
      </w:r>
      <w:r w:rsidR="000C5738" w:rsidRPr="00990312">
        <w:t>he European Food Safety Authority (EFSA</w:t>
      </w:r>
      <w:r w:rsidRPr="00990312">
        <w:t>)</w:t>
      </w:r>
      <w:r w:rsidR="000C5738" w:rsidRPr="00990312">
        <w:t xml:space="preserve"> </w:t>
      </w:r>
      <w:r w:rsidR="008A0362" w:rsidRPr="00990312">
        <w:t xml:space="preserve">requires </w:t>
      </w:r>
      <w:r w:rsidR="00192769" w:rsidRPr="00990312">
        <w:t xml:space="preserve">a core set of test data in order to </w:t>
      </w:r>
      <w:r w:rsidR="00EC629F" w:rsidRPr="00990312">
        <w:t xml:space="preserve">be able to </w:t>
      </w:r>
      <w:r w:rsidR="00192769" w:rsidRPr="00990312">
        <w:t>evaluate consumer safety of these materials. Genotoxicity data are</w:t>
      </w:r>
      <w:r w:rsidR="00EC629F" w:rsidRPr="00990312">
        <w:t xml:space="preserve"> always</w:t>
      </w:r>
      <w:r w:rsidR="00192769" w:rsidRPr="00990312">
        <w:t xml:space="preserve"> requested</w:t>
      </w:r>
      <w:r w:rsidR="00EC629F" w:rsidRPr="00990312">
        <w:t>,</w:t>
      </w:r>
      <w:r w:rsidR="00192769" w:rsidRPr="00990312">
        <w:t xml:space="preserve"> regardless </w:t>
      </w:r>
      <w:r w:rsidR="00231F52" w:rsidRPr="00990312">
        <w:t xml:space="preserve">of </w:t>
      </w:r>
      <w:r w:rsidR="00192769" w:rsidRPr="00990312">
        <w:t xml:space="preserve">the (estimated) migration level (EFSA, </w:t>
      </w:r>
      <w:r w:rsidR="00DE4EDE" w:rsidRPr="00990312">
        <w:t>2012).</w:t>
      </w:r>
      <w:r w:rsidR="00F346F3" w:rsidRPr="00990312">
        <w:t xml:space="preserve"> </w:t>
      </w:r>
      <w:r w:rsidR="00684998" w:rsidRPr="00990312">
        <w:t xml:space="preserve">Indeed, genotoxicity i.e. the ability to cause DNA damage, can induce adverse human health effects including cancer </w:t>
      </w:r>
      <w:r w:rsidR="00257D28" w:rsidRPr="00990312">
        <w:t>(Cla</w:t>
      </w:r>
      <w:r w:rsidR="00257D28" w:rsidRPr="00257D28">
        <w:t>xton et al., 2010).</w:t>
      </w:r>
      <w:r w:rsidR="00257D28">
        <w:t xml:space="preserve"> </w:t>
      </w:r>
      <w:r w:rsidR="00D10255">
        <w:t xml:space="preserve">In line with </w:t>
      </w:r>
      <w:r w:rsidR="00D10255" w:rsidRPr="00D10255">
        <w:t>new EFSA Scientific Committee’s recommendations on genotoxicity testing strategies</w:t>
      </w:r>
      <w:r w:rsidR="00D10255">
        <w:t>, a</w:t>
      </w:r>
      <w:r w:rsidR="00F346F3" w:rsidRPr="00F346F3">
        <w:t xml:space="preserve"> battery of </w:t>
      </w:r>
      <w:r w:rsidR="00D10255">
        <w:t>2</w:t>
      </w:r>
      <w:r w:rsidR="00F346F3" w:rsidRPr="00F346F3">
        <w:t xml:space="preserve"> </w:t>
      </w:r>
      <w:r w:rsidR="00F346F3" w:rsidRPr="00DE4EDE">
        <w:rPr>
          <w:i/>
        </w:rPr>
        <w:t>in vitro</w:t>
      </w:r>
      <w:r w:rsidR="00F346F3" w:rsidRPr="00F346F3">
        <w:t xml:space="preserve"> </w:t>
      </w:r>
      <w:r w:rsidR="00EA1F32">
        <w:t xml:space="preserve">genotoxicity </w:t>
      </w:r>
      <w:r w:rsidR="00F346F3" w:rsidRPr="00F346F3">
        <w:t xml:space="preserve">tests </w:t>
      </w:r>
      <w:r w:rsidR="00257D28">
        <w:t>is required,</w:t>
      </w:r>
      <w:r w:rsidR="00F346F3" w:rsidRPr="00F346F3">
        <w:t xml:space="preserve"> </w:t>
      </w:r>
      <w:r w:rsidR="008C18EF">
        <w:t>i.e.</w:t>
      </w:r>
      <w:r w:rsidR="00F346F3" w:rsidRPr="00F346F3">
        <w:t xml:space="preserve"> a gene mutation test in bacteria</w:t>
      </w:r>
      <w:r w:rsidR="00D10255">
        <w:t xml:space="preserve"> and</w:t>
      </w:r>
      <w:r w:rsidR="00F346F3" w:rsidRPr="00F346F3">
        <w:t xml:space="preserve"> an</w:t>
      </w:r>
      <w:r w:rsidR="00F346F3" w:rsidRPr="00DE4EDE">
        <w:rPr>
          <w:i/>
        </w:rPr>
        <w:t xml:space="preserve"> in vitro</w:t>
      </w:r>
      <w:r w:rsidR="00F346F3" w:rsidRPr="00F346F3">
        <w:t xml:space="preserve"> mammalian </w:t>
      </w:r>
      <w:r w:rsidR="00D10255">
        <w:t>cell micronucleus</w:t>
      </w:r>
      <w:r w:rsidR="00F346F3" w:rsidRPr="00F346F3">
        <w:t xml:space="preserve"> test. If </w:t>
      </w:r>
      <w:r w:rsidR="00D10255">
        <w:t>one</w:t>
      </w:r>
      <w:r w:rsidR="00F346F3" w:rsidRPr="00F346F3">
        <w:t xml:space="preserve"> of these tests yields a positive or equivocal </w:t>
      </w:r>
      <w:r w:rsidR="00F346F3" w:rsidRPr="00F346F3">
        <w:lastRenderedPageBreak/>
        <w:t xml:space="preserve">result, further </w:t>
      </w:r>
      <w:r w:rsidR="00F346F3">
        <w:t>(</w:t>
      </w:r>
      <w:r w:rsidR="00F346F3" w:rsidRPr="00DE4EDE">
        <w:rPr>
          <w:i/>
        </w:rPr>
        <w:t>in vivo</w:t>
      </w:r>
      <w:r w:rsidR="00F346F3">
        <w:t>) t</w:t>
      </w:r>
      <w:r w:rsidR="00F346F3" w:rsidRPr="00F346F3">
        <w:t>est</w:t>
      </w:r>
      <w:r w:rsidR="00F346F3">
        <w:t>ing</w:t>
      </w:r>
      <w:r w:rsidR="00F346F3" w:rsidRPr="00F346F3">
        <w:t xml:space="preserve"> may be </w:t>
      </w:r>
      <w:r w:rsidR="00EC629F">
        <w:t>needed</w:t>
      </w:r>
      <w:r w:rsidR="00DB052B">
        <w:t xml:space="preserve"> in order to</w:t>
      </w:r>
      <w:r w:rsidR="00EC629F">
        <w:t xml:space="preserve"> </w:t>
      </w:r>
      <w:r w:rsidR="00DB052B">
        <w:t xml:space="preserve">investigate the </w:t>
      </w:r>
      <w:r w:rsidR="00EA1F32">
        <w:t xml:space="preserve">genotoxic </w:t>
      </w:r>
      <w:r w:rsidR="00DB052B">
        <w:t>potential of the substance</w:t>
      </w:r>
      <w:r w:rsidR="00D10255">
        <w:t xml:space="preserve"> (EFSA, 2016)</w:t>
      </w:r>
      <w:r w:rsidR="00F346F3">
        <w:t xml:space="preserve">. </w:t>
      </w:r>
    </w:p>
    <w:p w14:paraId="565924EA" w14:textId="30D7FDFE" w:rsidR="00974A18" w:rsidRPr="00263FAE" w:rsidRDefault="00974A18" w:rsidP="00305A0C">
      <w:pPr>
        <w:spacing w:after="0" w:line="480" w:lineRule="auto"/>
        <w:jc w:val="both"/>
      </w:pPr>
      <w:r>
        <w:t xml:space="preserve">The bacterial reverse mutation assay (Ames test) is the most commonly used </w:t>
      </w:r>
      <w:r w:rsidRPr="00974A18">
        <w:rPr>
          <w:i/>
        </w:rPr>
        <w:t>in vitro</w:t>
      </w:r>
      <w:r>
        <w:t xml:space="preserve"> test to detect </w:t>
      </w:r>
      <w:r w:rsidR="00D72AC6">
        <w:t>gene mutations</w:t>
      </w:r>
      <w:r>
        <w:t xml:space="preserve"> (OECD, 2008). </w:t>
      </w:r>
      <w:r w:rsidR="006B324A">
        <w:t>Although it is a suitable test</w:t>
      </w:r>
      <w:r w:rsidR="00254F3B">
        <w:t xml:space="preserve"> to </w:t>
      </w:r>
      <w:r w:rsidR="00DB052B">
        <w:t>identify</w:t>
      </w:r>
      <w:r w:rsidR="00586870">
        <w:t xml:space="preserve"> </w:t>
      </w:r>
      <w:r w:rsidR="00D72AC6">
        <w:t xml:space="preserve">gene </w:t>
      </w:r>
      <w:r w:rsidR="00586870">
        <w:t>mu</w:t>
      </w:r>
      <w:r w:rsidR="00B37117">
        <w:t>tation-inducing chemicals</w:t>
      </w:r>
      <w:r w:rsidR="006B324A">
        <w:t>,</w:t>
      </w:r>
      <w:r w:rsidR="00F60A7C">
        <w:t xml:space="preserve"> its technical characteristics</w:t>
      </w:r>
      <w:r w:rsidR="00901EA7">
        <w:t xml:space="preserve"> </w:t>
      </w:r>
      <w:r w:rsidR="00F60A7C">
        <w:t>(</w:t>
      </w:r>
      <w:r w:rsidR="00901EA7">
        <w:t xml:space="preserve">in particular </w:t>
      </w:r>
      <w:r w:rsidR="00BB121B">
        <w:t xml:space="preserve">the </w:t>
      </w:r>
      <w:r w:rsidR="00901EA7">
        <w:t>test duration</w:t>
      </w:r>
      <w:r w:rsidR="00D72AC6">
        <w:t xml:space="preserve"> and </w:t>
      </w:r>
      <w:r w:rsidR="00BB121B">
        <w:t>the</w:t>
      </w:r>
      <w:r w:rsidR="006B324A">
        <w:t xml:space="preserve"> high</w:t>
      </w:r>
      <w:r w:rsidR="00BB121B">
        <w:t xml:space="preserve"> </w:t>
      </w:r>
      <w:r w:rsidR="00D72AC6">
        <w:t>quantity of test compound required</w:t>
      </w:r>
      <w:r w:rsidR="00F60A7C">
        <w:t>)</w:t>
      </w:r>
      <w:r w:rsidR="00901EA7">
        <w:t xml:space="preserve"> </w:t>
      </w:r>
      <w:r w:rsidR="006B324A">
        <w:t>do not allow testing</w:t>
      </w:r>
      <w:r w:rsidR="00B41C6D">
        <w:t xml:space="preserve"> o</w:t>
      </w:r>
      <w:r w:rsidR="006B324A">
        <w:t>f</w:t>
      </w:r>
      <w:r w:rsidR="00901EA7">
        <w:t xml:space="preserve"> </w:t>
      </w:r>
      <w:r w:rsidR="00FB21AB">
        <w:t>1000+</w:t>
      </w:r>
      <w:r w:rsidR="00901EA7">
        <w:t xml:space="preserve"> substances</w:t>
      </w:r>
      <w:r w:rsidR="008619F7" w:rsidRPr="008619F7">
        <w:t xml:space="preserve"> in </w:t>
      </w:r>
      <w:r w:rsidR="006B324A">
        <w:t>a</w:t>
      </w:r>
      <w:r w:rsidR="008619F7" w:rsidRPr="008619F7">
        <w:t xml:space="preserve"> short </w:t>
      </w:r>
      <w:r w:rsidR="006B324A">
        <w:t>period of time</w:t>
      </w:r>
      <w:r w:rsidR="00FB21AB">
        <w:t xml:space="preserve"> at reasonable cost</w:t>
      </w:r>
      <w:r w:rsidR="00901EA7">
        <w:t xml:space="preserve">. </w:t>
      </w:r>
      <w:r w:rsidR="00A17A7F">
        <w:t>The same obstacles are</w:t>
      </w:r>
      <w:r w:rsidR="00840A9F">
        <w:t xml:space="preserve"> also</w:t>
      </w:r>
      <w:r w:rsidR="00A17A7F">
        <w:t xml:space="preserve"> encountered </w:t>
      </w:r>
      <w:r w:rsidR="00840A9F">
        <w:t>with</w:t>
      </w:r>
      <w:r w:rsidR="00A17A7F">
        <w:t xml:space="preserve"> the other assay required in the genotoxicity </w:t>
      </w:r>
      <w:r w:rsidR="00840A9F">
        <w:t>testing battery</w:t>
      </w:r>
      <w:r w:rsidR="00A17A7F">
        <w:t xml:space="preserve">. </w:t>
      </w:r>
      <w:r w:rsidR="00C9159B">
        <w:t xml:space="preserve">A promising approach to detect mutagens without </w:t>
      </w:r>
      <w:r w:rsidR="006B324A">
        <w:t xml:space="preserve">animal nor </w:t>
      </w:r>
      <w:r w:rsidR="006B324A">
        <w:rPr>
          <w:i/>
        </w:rPr>
        <w:t>in vitro</w:t>
      </w:r>
      <w:r w:rsidR="00C9159B">
        <w:t xml:space="preserve"> testing lies in the application of </w:t>
      </w:r>
      <w:r w:rsidR="00C9159B">
        <w:rPr>
          <w:i/>
        </w:rPr>
        <w:t>in silico</w:t>
      </w:r>
      <w:r w:rsidR="00C9159B">
        <w:t xml:space="preserve"> tools. </w:t>
      </w:r>
      <w:r w:rsidR="00CC4D2F">
        <w:t>These computer-</w:t>
      </w:r>
      <w:r w:rsidR="00134A8C">
        <w:t>assisted</w:t>
      </w:r>
      <w:r w:rsidR="00CC4D2F">
        <w:t xml:space="preserve"> methodologies are</w:t>
      </w:r>
      <w:r w:rsidR="00C65BDA">
        <w:t xml:space="preserve"> </w:t>
      </w:r>
      <w:r w:rsidR="00461E8A">
        <w:t xml:space="preserve">based on </w:t>
      </w:r>
      <w:r w:rsidR="009A5177">
        <w:t xml:space="preserve">available experimental data, and are </w:t>
      </w:r>
      <w:r w:rsidR="00263FAE">
        <w:t>increasingly adopted</w:t>
      </w:r>
      <w:r w:rsidR="009A5177">
        <w:t xml:space="preserve"> in regulatory toxicology because of their time-, cost- and animal-saving nature</w:t>
      </w:r>
      <w:r w:rsidR="009A5177" w:rsidRPr="00065881">
        <w:t>.</w:t>
      </w:r>
      <w:r w:rsidR="00CC4D2F" w:rsidRPr="00065881">
        <w:t xml:space="preserve"> </w:t>
      </w:r>
      <w:r w:rsidR="00D8674D" w:rsidRPr="00065881">
        <w:t xml:space="preserve">In particular, (quantitative) structure activity relationship </w:t>
      </w:r>
      <w:r w:rsidR="00E822E8" w:rsidRPr="00065881">
        <w:t>(</w:t>
      </w:r>
      <w:r w:rsidR="00D8674D" w:rsidRPr="00065881">
        <w:t>(Q)SAR</w:t>
      </w:r>
      <w:r w:rsidR="00E822E8" w:rsidRPr="00065881">
        <w:t>)</w:t>
      </w:r>
      <w:r w:rsidR="00D8674D" w:rsidRPr="00065881">
        <w:t xml:space="preserve"> systems</w:t>
      </w:r>
      <w:r w:rsidR="00EB3B64" w:rsidRPr="00065881">
        <w:t xml:space="preserve"> represent</w:t>
      </w:r>
      <w:r w:rsidR="00E00476" w:rsidRPr="00065881">
        <w:t xml:space="preserve"> </w:t>
      </w:r>
      <w:r w:rsidR="003769EA" w:rsidRPr="00065881">
        <w:t>promising</w:t>
      </w:r>
      <w:r w:rsidR="00E00476" w:rsidRPr="00065881">
        <w:t xml:space="preserve"> </w:t>
      </w:r>
      <w:r w:rsidR="00062D5D" w:rsidRPr="00065881">
        <w:t xml:space="preserve">predictive computational </w:t>
      </w:r>
      <w:r w:rsidR="003769EA" w:rsidRPr="00065881">
        <w:t>techniques</w:t>
      </w:r>
      <w:r w:rsidR="00062D5D" w:rsidRPr="00065881">
        <w:t xml:space="preserve"> to</w:t>
      </w:r>
      <w:r w:rsidR="00D8674D" w:rsidRPr="00065881">
        <w:t xml:space="preserve"> </w:t>
      </w:r>
      <w:r w:rsidR="00E822E8" w:rsidRPr="00065881">
        <w:t>evaluate</w:t>
      </w:r>
      <w:r w:rsidR="00D8674D" w:rsidRPr="00065881">
        <w:t xml:space="preserve"> potential g</w:t>
      </w:r>
      <w:r w:rsidR="00062D5D" w:rsidRPr="00065881">
        <w:t>enotoxicity and carcinogenicity</w:t>
      </w:r>
      <w:r w:rsidR="00C53108">
        <w:t xml:space="preserve"> of chemical substances </w:t>
      </w:r>
      <w:r w:rsidR="00D8674D" w:rsidRPr="00065881">
        <w:t>(Serafimova et al</w:t>
      </w:r>
      <w:r w:rsidR="00E47E74">
        <w:t>.</w:t>
      </w:r>
      <w:r w:rsidR="00D8674D" w:rsidRPr="00065881">
        <w:t>, 2010).</w:t>
      </w:r>
    </w:p>
    <w:p w14:paraId="34EA043E" w14:textId="3D8D678E" w:rsidR="001D438B" w:rsidRPr="00D35ACF" w:rsidRDefault="004F520B" w:rsidP="00601123">
      <w:pPr>
        <w:spacing w:after="0" w:line="480" w:lineRule="auto"/>
        <w:jc w:val="both"/>
      </w:pPr>
      <w:r>
        <w:t>(Q)SARs</w:t>
      </w:r>
      <w:r w:rsidR="00E822E8" w:rsidRPr="00065881">
        <w:t xml:space="preserve"> comprise</w:t>
      </w:r>
      <w:r w:rsidR="00552DEB" w:rsidRPr="00065881">
        <w:t xml:space="preserve"> </w:t>
      </w:r>
      <w:r w:rsidR="0033019F" w:rsidRPr="00065881">
        <w:t>both</w:t>
      </w:r>
      <w:r w:rsidR="0033019F">
        <w:t xml:space="preserve"> </w:t>
      </w:r>
      <w:r w:rsidR="00FE0D5B">
        <w:t xml:space="preserve">statistical QSAR and rule-based SAR systems. </w:t>
      </w:r>
      <w:r w:rsidR="00A27B24">
        <w:t xml:space="preserve">Rule-based models </w:t>
      </w:r>
      <w:r w:rsidR="00775166">
        <w:t>perform</w:t>
      </w:r>
      <w:r w:rsidR="00E25799">
        <w:t xml:space="preserve"> predictions via</w:t>
      </w:r>
      <w:r w:rsidR="00A27B24">
        <w:t xml:space="preserve"> detection of </w:t>
      </w:r>
      <w:r w:rsidR="00BB121B">
        <w:t xml:space="preserve">so-called ‘structural alerts’ (SA), </w:t>
      </w:r>
      <w:r w:rsidR="003917B5">
        <w:t xml:space="preserve">i.e. </w:t>
      </w:r>
      <w:r w:rsidR="00A27B24">
        <w:t>chemical fragments responsible for the toxic effect</w:t>
      </w:r>
      <w:r w:rsidR="00FC32C5">
        <w:t xml:space="preserve"> </w:t>
      </w:r>
      <w:r w:rsidR="00A5610B">
        <w:t xml:space="preserve">as determined earlier </w:t>
      </w:r>
      <w:r w:rsidR="00451943">
        <w:t>based on</w:t>
      </w:r>
      <w:r w:rsidR="00A27B24">
        <w:t xml:space="preserve"> human expert knowledge. Statistical models, on the other hand</w:t>
      </w:r>
      <w:r w:rsidR="00A27B24" w:rsidRPr="00990312">
        <w:t xml:space="preserve">, </w:t>
      </w:r>
      <w:r w:rsidR="009C7B5C" w:rsidRPr="00990312">
        <w:t xml:space="preserve">predict </w:t>
      </w:r>
      <w:r w:rsidR="0007327D" w:rsidRPr="00990312">
        <w:t xml:space="preserve">toxicity using an algorithm obtained by investigating the mathematical correlation </w:t>
      </w:r>
      <w:r w:rsidR="006416C0" w:rsidRPr="00990312">
        <w:t>between</w:t>
      </w:r>
      <w:r w:rsidR="0007327D" w:rsidRPr="00990312">
        <w:t xml:space="preserve"> chemical properties (translated into molecular descriptors) and toxic activity</w:t>
      </w:r>
      <w:r w:rsidR="00D6543F" w:rsidRPr="00990312">
        <w:t xml:space="preserve"> (Bakhtyari et al., 2013)</w:t>
      </w:r>
      <w:r w:rsidR="0007327D" w:rsidRPr="00990312">
        <w:t xml:space="preserve">. </w:t>
      </w:r>
      <w:r w:rsidR="00601123" w:rsidRPr="00990312">
        <w:t xml:space="preserve">In both systems, chemicals are typically processed by means of their simplified molecular-input line-entry system (SMILES) representation. </w:t>
      </w:r>
      <w:r w:rsidR="00A5610B" w:rsidRPr="00990312">
        <w:t>Most commercial (e.g. Derek Nexus®) and free</w:t>
      </w:r>
      <w:r w:rsidR="008B58A1" w:rsidRPr="00990312">
        <w:t xml:space="preserve"> (e.g. Toxtree) </w:t>
      </w:r>
      <w:r w:rsidR="008B58A1" w:rsidRPr="00990312">
        <w:rPr>
          <w:i/>
        </w:rPr>
        <w:t>in silico</w:t>
      </w:r>
      <w:r w:rsidR="008B58A1" w:rsidRPr="00990312">
        <w:t xml:space="preserve"> </w:t>
      </w:r>
      <w:r w:rsidR="006537DE" w:rsidRPr="00990312">
        <w:t>software programs</w:t>
      </w:r>
      <w:r w:rsidR="008B58A1" w:rsidRPr="00990312">
        <w:t xml:space="preserve"> </w:t>
      </w:r>
      <w:r w:rsidR="00374817" w:rsidRPr="00990312">
        <w:t xml:space="preserve">include statistical QSAR and/or rule-based </w:t>
      </w:r>
      <w:r w:rsidR="00A5610B" w:rsidRPr="00990312">
        <w:t xml:space="preserve">SAR </w:t>
      </w:r>
      <w:r w:rsidR="00374817" w:rsidRPr="00990312">
        <w:t xml:space="preserve">models </w:t>
      </w:r>
      <w:r w:rsidR="008B58A1" w:rsidRPr="00990312">
        <w:t>to pr</w:t>
      </w:r>
      <w:r w:rsidR="00DB7F0D" w:rsidRPr="00990312">
        <w:t xml:space="preserve">edict </w:t>
      </w:r>
      <w:r w:rsidR="00451943" w:rsidRPr="00990312">
        <w:t>the induction of gene mutations in the Ames test (‘</w:t>
      </w:r>
      <w:r w:rsidR="00DB7F0D" w:rsidRPr="00990312">
        <w:t>Ames mutagenicity</w:t>
      </w:r>
      <w:r w:rsidR="00451943" w:rsidRPr="00990312">
        <w:t>’)</w:t>
      </w:r>
      <w:r w:rsidR="00374817" w:rsidRPr="00990312">
        <w:t>.</w:t>
      </w:r>
      <w:r w:rsidR="00DB7F0D" w:rsidRPr="00990312">
        <w:t xml:space="preserve"> </w:t>
      </w:r>
      <w:r w:rsidR="00374817" w:rsidRPr="00990312">
        <w:t>Furthermore, due</w:t>
      </w:r>
      <w:r w:rsidR="008B58A1" w:rsidRPr="00990312">
        <w:t xml:space="preserve"> to the abundance of consistent Ames test results</w:t>
      </w:r>
      <w:r w:rsidR="00B2023C" w:rsidRPr="00990312">
        <w:t xml:space="preserve"> and due to the binary result type: mutagenic/non-mutagenic</w:t>
      </w:r>
      <w:r w:rsidR="00374817" w:rsidRPr="00990312">
        <w:t xml:space="preserve">, </w:t>
      </w:r>
      <w:r w:rsidR="00F2128D" w:rsidRPr="00990312">
        <w:t>robust models for Ames mutagenicity</w:t>
      </w:r>
      <w:r w:rsidR="00F2128D">
        <w:t xml:space="preserve"> are available and therefore </w:t>
      </w:r>
      <w:r w:rsidR="00374817">
        <w:t xml:space="preserve">the prediction </w:t>
      </w:r>
      <w:r w:rsidR="00F2128D">
        <w:t>performance</w:t>
      </w:r>
      <w:r w:rsidR="00374817">
        <w:t xml:space="preserve"> </w:t>
      </w:r>
      <w:r w:rsidR="00F2128D">
        <w:t>for this endpoint</w:t>
      </w:r>
      <w:r w:rsidR="00F420C7">
        <w:t xml:space="preserve"> is </w:t>
      </w:r>
      <w:r w:rsidR="00F2128D">
        <w:t>substantially better</w:t>
      </w:r>
      <w:r w:rsidR="00F420C7">
        <w:t xml:space="preserve"> </w:t>
      </w:r>
      <w:r w:rsidR="00F2128D">
        <w:t>compared to</w:t>
      </w:r>
      <w:r w:rsidR="00F420C7">
        <w:t xml:space="preserve"> other toxicological endpoints</w:t>
      </w:r>
      <w:r w:rsidR="001D438B">
        <w:t xml:space="preserve"> (Kamath et al., 2015).</w:t>
      </w:r>
      <w:r w:rsidR="00D35ACF">
        <w:t xml:space="preserve"> Indeed, </w:t>
      </w:r>
      <w:r w:rsidR="00D35ACF">
        <w:rPr>
          <w:i/>
        </w:rPr>
        <w:t xml:space="preserve">in silico </w:t>
      </w:r>
      <w:r w:rsidR="00D35ACF">
        <w:t xml:space="preserve">models for genotoxic endpoints other </w:t>
      </w:r>
      <w:r w:rsidR="00D35ACF">
        <w:lastRenderedPageBreak/>
        <w:t xml:space="preserve">than Ames mutagenicity </w:t>
      </w:r>
      <w:r w:rsidR="00EA2E07">
        <w:t xml:space="preserve">(e.g. chromosome damaging potential in the micronucleus test) </w:t>
      </w:r>
      <w:r w:rsidR="001622E1">
        <w:t>exist</w:t>
      </w:r>
      <w:r w:rsidR="00D35ACF">
        <w:t xml:space="preserve">, but </w:t>
      </w:r>
      <w:r w:rsidR="00FD4E29">
        <w:t xml:space="preserve">until now </w:t>
      </w:r>
      <w:r w:rsidR="00D35ACF">
        <w:t xml:space="preserve">their </w:t>
      </w:r>
      <w:r w:rsidR="00EA2E07">
        <w:t xml:space="preserve">accuracy is </w:t>
      </w:r>
      <w:r w:rsidR="00FD4E29">
        <w:t>limited</w:t>
      </w:r>
      <w:r w:rsidR="00EA2E07">
        <w:t xml:space="preserve"> and needs to be improved before these models can become</w:t>
      </w:r>
      <w:r w:rsidR="008D24EC">
        <w:t xml:space="preserve"> a</w:t>
      </w:r>
      <w:r w:rsidR="00EA2E07">
        <w:t xml:space="preserve"> more reliable</w:t>
      </w:r>
      <w:r w:rsidR="008D24EC">
        <w:t xml:space="preserve"> screening tool</w:t>
      </w:r>
      <w:r w:rsidR="00EA2E07">
        <w:t>.</w:t>
      </w:r>
    </w:p>
    <w:p w14:paraId="75C33F6C" w14:textId="57DB6FA5" w:rsidR="00E45E48" w:rsidRPr="00EB2F1C" w:rsidRDefault="00386E2E" w:rsidP="00B65EAD">
      <w:pPr>
        <w:spacing w:after="0" w:line="480" w:lineRule="auto"/>
        <w:jc w:val="both"/>
      </w:pPr>
      <w:r w:rsidRPr="00377678">
        <w:t>Numerous publications on (Q)SAR evaluation of chemicals</w:t>
      </w:r>
      <w:r w:rsidR="001D438B" w:rsidRPr="00377678">
        <w:t>/chemical groups</w:t>
      </w:r>
      <w:r w:rsidRPr="00377678">
        <w:t xml:space="preserve"> are available, however most</w:t>
      </w:r>
      <w:r w:rsidR="00346222" w:rsidRPr="00377678">
        <w:t>ly in the context</w:t>
      </w:r>
      <w:r w:rsidRPr="00377678">
        <w:t xml:space="preserve"> of model validation.</w:t>
      </w:r>
      <w:r w:rsidR="00346222" w:rsidRPr="00377678">
        <w:t xml:space="preserve"> </w:t>
      </w:r>
      <w:r w:rsidR="00EB0ACB">
        <w:t>Besides one study in which 2 SAR models were used to rank heat-generated food contaminants (Cotterill et al., 2008), to our knowledge, no</w:t>
      </w:r>
      <w:r w:rsidR="00FD4E29">
        <w:t xml:space="preserve"> </w:t>
      </w:r>
      <w:r w:rsidR="00F459CB">
        <w:t xml:space="preserve">study </w:t>
      </w:r>
      <w:r w:rsidR="00346222" w:rsidRPr="00377678">
        <w:t>reports</w:t>
      </w:r>
      <w:r w:rsidR="00FD4E29">
        <w:t xml:space="preserve"> </w:t>
      </w:r>
      <w:r w:rsidR="009A1F31">
        <w:t>are available</w:t>
      </w:r>
      <w:r w:rsidR="00EB0ACB">
        <w:t xml:space="preserve"> </w:t>
      </w:r>
      <w:r w:rsidR="00346222" w:rsidRPr="00377678">
        <w:t xml:space="preserve">on the application of </w:t>
      </w:r>
      <w:r w:rsidR="00CB25F2" w:rsidRPr="00377678">
        <w:t xml:space="preserve">(Q)SARs </w:t>
      </w:r>
      <w:r w:rsidR="00377678" w:rsidRPr="00377678">
        <w:t>for</w:t>
      </w:r>
      <w:r w:rsidR="00CB25F2" w:rsidRPr="00377678">
        <w:t xml:space="preserve"> prioritization of potential human genotoxicants.</w:t>
      </w:r>
      <w:r w:rsidR="00FE0D5B" w:rsidRPr="00377678">
        <w:t xml:space="preserve"> </w:t>
      </w:r>
      <w:r w:rsidR="009C5AD4" w:rsidRPr="00377678">
        <w:t>In</w:t>
      </w:r>
      <w:r w:rsidR="009C5AD4" w:rsidRPr="00B67399">
        <w:t xml:space="preserve"> the current study, </w:t>
      </w:r>
      <w:r w:rsidR="00587418" w:rsidRPr="00B67399">
        <w:t xml:space="preserve">a screening strategy based on </w:t>
      </w:r>
      <w:r w:rsidR="009C5AD4" w:rsidRPr="00B67399">
        <w:t xml:space="preserve">(Q)SAR tools </w:t>
      </w:r>
      <w:r w:rsidR="00587418" w:rsidRPr="00B67399">
        <w:t>is applied</w:t>
      </w:r>
      <w:r w:rsidR="00587418">
        <w:t xml:space="preserve"> to</w:t>
      </w:r>
      <w:r w:rsidR="009C5AD4">
        <w:t xml:space="preserve"> </w:t>
      </w:r>
      <w:r w:rsidR="006537DE">
        <w:t>identify</w:t>
      </w:r>
      <w:r w:rsidR="00994A66">
        <w:t>,</w:t>
      </w:r>
      <w:r w:rsidR="006537DE">
        <w:t xml:space="preserve"> within the large number of</w:t>
      </w:r>
      <w:r w:rsidR="004A40D3">
        <w:t xml:space="preserve"> non-evaluated substances </w:t>
      </w:r>
      <w:r w:rsidR="00BB121B">
        <w:t xml:space="preserve">that can be </w:t>
      </w:r>
      <w:r w:rsidR="004A40D3">
        <w:t>used in printed paper and board FCM</w:t>
      </w:r>
      <w:r w:rsidR="00994A66">
        <w:t>,</w:t>
      </w:r>
      <w:r w:rsidR="006537DE">
        <w:t xml:space="preserve"> those that represent the highest concern for human health</w:t>
      </w:r>
      <w:r w:rsidR="004A40D3">
        <w:t xml:space="preserve">. </w:t>
      </w:r>
      <w:r w:rsidR="008E5CC7">
        <w:t>The n</w:t>
      </w:r>
      <w:r w:rsidR="00587418">
        <w:t>on</w:t>
      </w:r>
      <w:r w:rsidR="006537DE" w:rsidRPr="006537DE">
        <w:t xml:space="preserve">-evaluated substances were </w:t>
      </w:r>
      <w:r w:rsidR="006537DE">
        <w:t xml:space="preserve">first </w:t>
      </w:r>
      <w:r w:rsidR="006537DE" w:rsidRPr="006537DE">
        <w:t xml:space="preserve">selected from a recently compiled inventory </w:t>
      </w:r>
      <w:r w:rsidR="00DC2011">
        <w:t>containing</w:t>
      </w:r>
      <w:r w:rsidR="00663A29">
        <w:t xml:space="preserve"> all substances which may be used in this type of FCM</w:t>
      </w:r>
      <w:r w:rsidR="00A239BA">
        <w:t xml:space="preserve"> (Van Bossuyt et al</w:t>
      </w:r>
      <w:r w:rsidR="00615765">
        <w:t>.</w:t>
      </w:r>
      <w:r w:rsidR="00A239BA">
        <w:t>, 2016)</w:t>
      </w:r>
      <w:r w:rsidR="002048C0">
        <w:t xml:space="preserve">. </w:t>
      </w:r>
      <w:r w:rsidR="006537DE">
        <w:t>Next, the</w:t>
      </w:r>
      <w:r w:rsidR="00697E42">
        <w:t>ir</w:t>
      </w:r>
      <w:r w:rsidR="006537DE">
        <w:t xml:space="preserve"> potential </w:t>
      </w:r>
      <w:r w:rsidR="00451943">
        <w:t xml:space="preserve">to induce gene mutations </w:t>
      </w:r>
      <w:r w:rsidR="006537DE">
        <w:t xml:space="preserve">was predicted </w:t>
      </w:r>
      <w:r w:rsidR="002A1AC1">
        <w:t>using</w:t>
      </w:r>
      <w:r w:rsidR="006537DE">
        <w:t xml:space="preserve"> </w:t>
      </w:r>
      <w:r w:rsidR="00252B84">
        <w:t>a battery of</w:t>
      </w:r>
      <w:r w:rsidR="00036178">
        <w:t xml:space="preserve"> </w:t>
      </w:r>
      <w:r w:rsidR="00542400">
        <w:t xml:space="preserve">Ames mutagenicity </w:t>
      </w:r>
      <w:r w:rsidR="00505A62">
        <w:t>(Q)SAR mo</w:t>
      </w:r>
      <w:r w:rsidR="00DC2011">
        <w:t>dels</w:t>
      </w:r>
      <w:r w:rsidR="00036178">
        <w:t xml:space="preserve">. </w:t>
      </w:r>
      <w:r w:rsidR="002E40C2">
        <w:t xml:space="preserve">The </w:t>
      </w:r>
      <w:r w:rsidR="005D6980">
        <w:t>model</w:t>
      </w:r>
      <w:r w:rsidR="003415E7">
        <w:t>s</w:t>
      </w:r>
      <w:r w:rsidR="005D6980">
        <w:t xml:space="preserve"> </w:t>
      </w:r>
      <w:r w:rsidR="00843D3C">
        <w:t xml:space="preserve">were selected </w:t>
      </w:r>
      <w:r w:rsidR="006D61F6">
        <w:t xml:space="preserve">by </w:t>
      </w:r>
      <w:r w:rsidR="00843D3C">
        <w:t xml:space="preserve">taking into account </w:t>
      </w:r>
      <w:r w:rsidR="00C65BDA">
        <w:t>existing</w:t>
      </w:r>
      <w:r w:rsidR="002E40C2">
        <w:t xml:space="preserve"> recommendations such as the use of complementary </w:t>
      </w:r>
      <w:r w:rsidR="002A6792">
        <w:t>systems</w:t>
      </w:r>
      <w:r w:rsidR="0096303A">
        <w:t xml:space="preserve"> </w:t>
      </w:r>
      <w:r w:rsidR="0096303A" w:rsidRPr="0096303A">
        <w:t>(in terms of prediction method)</w:t>
      </w:r>
      <w:r w:rsidR="005D6980">
        <w:t xml:space="preserve">. </w:t>
      </w:r>
      <w:r w:rsidR="00C32F45">
        <w:t>Moreover</w:t>
      </w:r>
      <w:r w:rsidR="002A6792">
        <w:t xml:space="preserve">, the </w:t>
      </w:r>
      <w:r w:rsidR="00CF00DC">
        <w:t xml:space="preserve">combination of a </w:t>
      </w:r>
      <w:r w:rsidR="005D6980">
        <w:t>SAR</w:t>
      </w:r>
      <w:r w:rsidR="00CF00DC">
        <w:t xml:space="preserve"> and a </w:t>
      </w:r>
      <w:r w:rsidR="005D6980">
        <w:t>QSAR</w:t>
      </w:r>
      <w:r w:rsidR="002A6792">
        <w:t xml:space="preserve"> is already </w:t>
      </w:r>
      <w:r w:rsidR="002A6792" w:rsidRPr="00990312">
        <w:t>mandatory in</w:t>
      </w:r>
      <w:r w:rsidR="00C32F45" w:rsidRPr="00990312">
        <w:t xml:space="preserve"> certain regulatory domains, for example in</w:t>
      </w:r>
      <w:r w:rsidR="002A6792" w:rsidRPr="00990312">
        <w:t xml:space="preserve"> the case of impurity testi</w:t>
      </w:r>
      <w:r w:rsidR="001F2EF6" w:rsidRPr="00990312">
        <w:t>ng of pharmaceuticals</w:t>
      </w:r>
      <w:r w:rsidR="00B2023C" w:rsidRPr="00990312">
        <w:t xml:space="preserve"> as described in the ICH M7 guidelines</w:t>
      </w:r>
      <w:r w:rsidR="001F2EF6" w:rsidRPr="00990312">
        <w:t xml:space="preserve"> (ICH, 2014</w:t>
      </w:r>
      <w:r w:rsidR="002A6792" w:rsidRPr="00990312">
        <w:t xml:space="preserve">). </w:t>
      </w:r>
      <w:r w:rsidR="003917B5" w:rsidRPr="00990312">
        <w:t>Using</w:t>
      </w:r>
      <w:r w:rsidR="005952A7" w:rsidRPr="00990312">
        <w:t xml:space="preserve"> the </w:t>
      </w:r>
      <w:r w:rsidR="003415E7" w:rsidRPr="00990312">
        <w:t>combined (Q)SAR</w:t>
      </w:r>
      <w:r w:rsidR="005952A7" w:rsidRPr="00990312">
        <w:t xml:space="preserve"> results</w:t>
      </w:r>
      <w:r w:rsidR="003917B5" w:rsidRPr="00990312">
        <w:t>,</w:t>
      </w:r>
      <w:r w:rsidR="002A6792" w:rsidRPr="00990312">
        <w:t xml:space="preserve"> </w:t>
      </w:r>
      <w:r w:rsidR="005952A7" w:rsidRPr="00990312">
        <w:t xml:space="preserve">a </w:t>
      </w:r>
      <w:r w:rsidR="00587418" w:rsidRPr="00990312">
        <w:t>priority li</w:t>
      </w:r>
      <w:r w:rsidR="00587418">
        <w:t>st</w:t>
      </w:r>
      <w:r w:rsidR="003415E7">
        <w:t xml:space="preserve"> </w:t>
      </w:r>
      <w:r w:rsidR="0038402E">
        <w:t xml:space="preserve">could be composed </w:t>
      </w:r>
      <w:r w:rsidR="003415E7">
        <w:t>of non-evaluated printed paper and board</w:t>
      </w:r>
      <w:r w:rsidR="002E40C2">
        <w:t xml:space="preserve"> </w:t>
      </w:r>
      <w:r w:rsidR="005952A7">
        <w:t>FCM substances requiring an urgent in-depth safety evaluation.</w:t>
      </w:r>
      <w:r w:rsidR="009C5AD4">
        <w:t xml:space="preserve"> </w:t>
      </w:r>
      <w:r w:rsidR="00E45E48">
        <w:rPr>
          <w:b/>
          <w:sz w:val="24"/>
        </w:rPr>
        <w:br w:type="page"/>
      </w:r>
    </w:p>
    <w:p w14:paraId="5E651129" w14:textId="77777777" w:rsidR="00305A0C" w:rsidRPr="00D45FC4" w:rsidRDefault="00305A0C" w:rsidP="00B65EAD">
      <w:pPr>
        <w:spacing w:after="0" w:line="480" w:lineRule="auto"/>
        <w:jc w:val="both"/>
        <w:rPr>
          <w:b/>
          <w:sz w:val="24"/>
        </w:rPr>
      </w:pPr>
      <w:r w:rsidRPr="00D45FC4">
        <w:rPr>
          <w:b/>
          <w:sz w:val="24"/>
        </w:rPr>
        <w:lastRenderedPageBreak/>
        <w:t>2. Materials and methods</w:t>
      </w:r>
    </w:p>
    <w:p w14:paraId="665046B5" w14:textId="77777777" w:rsidR="00D45FC4" w:rsidRDefault="00001806" w:rsidP="00B65EAD">
      <w:pPr>
        <w:spacing w:after="0" w:line="480" w:lineRule="auto"/>
        <w:jc w:val="both"/>
        <w:rPr>
          <w:b/>
        </w:rPr>
      </w:pPr>
      <w:r>
        <w:rPr>
          <w:b/>
        </w:rPr>
        <w:t>2.1. Study substances</w:t>
      </w:r>
    </w:p>
    <w:p w14:paraId="30B56E6A" w14:textId="7E623C75" w:rsidR="00BE1DFE" w:rsidRPr="00B0639E" w:rsidRDefault="004E708B" w:rsidP="00B65EAD">
      <w:pPr>
        <w:spacing w:after="0" w:line="480" w:lineRule="auto"/>
        <w:jc w:val="both"/>
      </w:pPr>
      <w:r>
        <w:t>Substances that have not been officially evaluated</w:t>
      </w:r>
      <w:r w:rsidR="00216FAD">
        <w:t xml:space="preserve"> were selected from a recently compiled inventory including 6073 </w:t>
      </w:r>
      <w:r w:rsidR="0052514B">
        <w:t xml:space="preserve">unique </w:t>
      </w:r>
      <w:r w:rsidR="00216FAD">
        <w:t>substances which may be used in printed paper and board FCM</w:t>
      </w:r>
      <w:r w:rsidR="00F774A9">
        <w:t xml:space="preserve"> (Van Bossuyt et al., 2016)</w:t>
      </w:r>
      <w:r w:rsidR="00216FAD">
        <w:t xml:space="preserve">. </w:t>
      </w:r>
      <w:r w:rsidR="0020348E">
        <w:t>Out of the 46</w:t>
      </w:r>
      <w:r w:rsidR="00C05EF2">
        <w:t>90 non-evaluated compounds, 1769</w:t>
      </w:r>
      <w:r w:rsidR="0020348E">
        <w:t xml:space="preserve"> single substances were ret</w:t>
      </w:r>
      <w:r w:rsidR="006537DE">
        <w:t>ained</w:t>
      </w:r>
      <w:r w:rsidR="0020348E">
        <w:t xml:space="preserve"> for the current analysis. </w:t>
      </w:r>
      <w:r w:rsidR="00E636D8">
        <w:t>The remaining 292</w:t>
      </w:r>
      <w:r w:rsidR="004A0FC4">
        <w:t>1</w:t>
      </w:r>
      <w:r w:rsidR="00E636D8">
        <w:t xml:space="preserve"> non-evaluated substances </w:t>
      </w:r>
      <w:r w:rsidR="00A85BB2">
        <w:t>are not eligible for straightforward</w:t>
      </w:r>
      <w:r w:rsidR="00E636D8">
        <w:t xml:space="preserve"> </w:t>
      </w:r>
      <w:r w:rsidR="00E636D8" w:rsidRPr="00E636D8">
        <w:rPr>
          <w:i/>
        </w:rPr>
        <w:t>in silico</w:t>
      </w:r>
      <w:r w:rsidR="00E636D8">
        <w:t xml:space="preserve"> </w:t>
      </w:r>
      <w:r w:rsidR="00A85BB2">
        <w:t xml:space="preserve">processing, </w:t>
      </w:r>
      <w:r w:rsidR="00E636D8">
        <w:t xml:space="preserve">due to their chemical structure (e.g. polymers, mixtures, complexes, inorganic substances). </w:t>
      </w:r>
      <w:r w:rsidR="00FA0B43">
        <w:t>Subsequently, t</w:t>
      </w:r>
      <w:r w:rsidR="00D369AA">
        <w:t xml:space="preserve">he </w:t>
      </w:r>
      <w:r w:rsidR="00D369AA" w:rsidRPr="00D369AA">
        <w:t>ChemSpider (Royal Societies of Chemistry, 2016), ChemIDplus (National Institutes of Health, 2016</w:t>
      </w:r>
      <w:r w:rsidR="00F45A6F">
        <w:t>a</w:t>
      </w:r>
      <w:r w:rsidR="00D369AA" w:rsidRPr="00D369AA">
        <w:t>)</w:t>
      </w:r>
      <w:r w:rsidR="00BC7F1A">
        <w:t>, PubChem (National Institutes of Health, 2016</w:t>
      </w:r>
      <w:r w:rsidR="00F45A6F">
        <w:t>b</w:t>
      </w:r>
      <w:r w:rsidR="00BC7F1A">
        <w:t>) an</w:t>
      </w:r>
      <w:r w:rsidR="00D369AA" w:rsidRPr="00D369AA">
        <w:t>d European Chemicals Agency (ECHA, 2016)</w:t>
      </w:r>
      <w:r w:rsidR="00D369AA">
        <w:t xml:space="preserve"> databases</w:t>
      </w:r>
      <w:r w:rsidR="00D369AA" w:rsidRPr="00D369AA">
        <w:t xml:space="preserve"> </w:t>
      </w:r>
      <w:r w:rsidR="00D369AA">
        <w:t xml:space="preserve">were consulted to collect </w:t>
      </w:r>
      <w:r w:rsidR="00FA0B43">
        <w:t xml:space="preserve">missing </w:t>
      </w:r>
      <w:r w:rsidR="00D369AA">
        <w:t>CAS numbers and SMILES for the 176</w:t>
      </w:r>
      <w:r w:rsidR="00C05EF2">
        <w:t>9</w:t>
      </w:r>
      <w:r w:rsidR="00D369AA">
        <w:t xml:space="preserve"> non-evaluated single substances</w:t>
      </w:r>
      <w:r w:rsidR="00D369AA" w:rsidRPr="00D369AA">
        <w:t>. ChemSpider was used as</w:t>
      </w:r>
      <w:r w:rsidR="00057046">
        <w:t xml:space="preserve"> the primary information source, whereas t</w:t>
      </w:r>
      <w:r w:rsidR="00DD6B09">
        <w:t>he ChemIDplus,</w:t>
      </w:r>
      <w:r w:rsidR="00D369AA" w:rsidRPr="00D369AA">
        <w:t xml:space="preserve"> </w:t>
      </w:r>
      <w:r w:rsidR="00BC7F1A">
        <w:t>PubChem</w:t>
      </w:r>
      <w:r w:rsidR="003B319E">
        <w:t xml:space="preserve"> and </w:t>
      </w:r>
      <w:r w:rsidR="003B319E" w:rsidRPr="00D369AA">
        <w:t>ECHA</w:t>
      </w:r>
      <w:r w:rsidR="00D369AA" w:rsidRPr="00D369AA">
        <w:t xml:space="preserve"> database</w:t>
      </w:r>
      <w:r w:rsidR="00DD6B09">
        <w:t>s were</w:t>
      </w:r>
      <w:r w:rsidR="00D369AA" w:rsidRPr="00D369AA">
        <w:t xml:space="preserve"> consulted</w:t>
      </w:r>
      <w:r w:rsidR="00E30525">
        <w:t xml:space="preserve"> i</w:t>
      </w:r>
      <w:r w:rsidR="00E30525" w:rsidRPr="00D369AA">
        <w:t>n case ChemSpider yielded no or ambiguou</w:t>
      </w:r>
      <w:r w:rsidR="00E30525">
        <w:t>s results</w:t>
      </w:r>
      <w:r w:rsidR="00D369AA" w:rsidRPr="00D369AA">
        <w:t xml:space="preserve">. </w:t>
      </w:r>
      <w:r w:rsidR="00005B24">
        <w:t>Afterwards, t</w:t>
      </w:r>
      <w:r w:rsidR="00B0639E">
        <w:t xml:space="preserve">he compound selection was further refined by excluding </w:t>
      </w:r>
      <w:r w:rsidR="00CC6858">
        <w:t>substances</w:t>
      </w:r>
      <w:r w:rsidR="00B0639E">
        <w:t xml:space="preserve"> </w:t>
      </w:r>
      <w:r w:rsidR="00D369AA">
        <w:t xml:space="preserve">for which no definite </w:t>
      </w:r>
      <w:r w:rsidR="00B0639E">
        <w:t>CAS</w:t>
      </w:r>
      <w:r w:rsidR="008074C3">
        <w:t xml:space="preserve"> number</w:t>
      </w:r>
      <w:r w:rsidR="00B0639E">
        <w:t xml:space="preserve"> or SMILES</w:t>
      </w:r>
      <w:r w:rsidR="00D369AA">
        <w:t xml:space="preserve"> could be </w:t>
      </w:r>
      <w:r w:rsidR="0006717E">
        <w:t>identified</w:t>
      </w:r>
      <w:r w:rsidR="00B0639E">
        <w:t xml:space="preserve">, </w:t>
      </w:r>
      <w:r w:rsidR="00374817">
        <w:t>reducing</w:t>
      </w:r>
      <w:r w:rsidR="00B0639E">
        <w:t xml:space="preserve"> the final number to 172</w:t>
      </w:r>
      <w:r w:rsidR="00F6482C">
        <w:t>3</w:t>
      </w:r>
      <w:r w:rsidR="006537DE">
        <w:t xml:space="preserve"> (</w:t>
      </w:r>
      <w:r w:rsidR="006537DE" w:rsidRPr="00C06787">
        <w:rPr>
          <w:b/>
        </w:rPr>
        <w:t>Figure 1</w:t>
      </w:r>
      <w:r w:rsidR="006537DE">
        <w:t>)</w:t>
      </w:r>
      <w:r w:rsidR="00B0639E">
        <w:t xml:space="preserve">. </w:t>
      </w:r>
    </w:p>
    <w:p w14:paraId="3B59981F" w14:textId="77777777" w:rsidR="001053A6" w:rsidRDefault="00A077CD" w:rsidP="00B65EAD">
      <w:pPr>
        <w:spacing w:after="0" w:line="480" w:lineRule="auto"/>
        <w:jc w:val="both"/>
      </w:pPr>
      <w:r>
        <w:rPr>
          <w:noProof/>
          <w:lang w:eastAsia="en-GB"/>
        </w:rPr>
        <w:drawing>
          <wp:inline distT="0" distB="0" distL="0" distR="0" wp14:anchorId="24A3C476" wp14:editId="39B4A4A8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72DBF44" w14:textId="77777777" w:rsidR="007A563D" w:rsidRPr="007A563D" w:rsidRDefault="007A563D" w:rsidP="00161463">
      <w:pPr>
        <w:spacing w:after="0" w:line="480" w:lineRule="auto"/>
        <w:ind w:left="2160" w:firstLine="720"/>
        <w:jc w:val="both"/>
        <w:rPr>
          <w:sz w:val="20"/>
        </w:rPr>
      </w:pPr>
      <w:r>
        <w:rPr>
          <w:sz w:val="20"/>
        </w:rPr>
        <w:t>Figure 1. Selection of study substances</w:t>
      </w:r>
    </w:p>
    <w:p w14:paraId="310F8406" w14:textId="77777777" w:rsidR="007A563D" w:rsidRPr="00001806" w:rsidRDefault="007A563D" w:rsidP="007A563D">
      <w:pPr>
        <w:spacing w:after="0" w:line="480" w:lineRule="auto"/>
        <w:jc w:val="both"/>
        <w:rPr>
          <w:b/>
        </w:rPr>
      </w:pPr>
      <w:r>
        <w:rPr>
          <w:b/>
        </w:rPr>
        <w:lastRenderedPageBreak/>
        <w:t xml:space="preserve">2.2. (Q)SAR </w:t>
      </w:r>
      <w:r w:rsidR="009F6708">
        <w:rPr>
          <w:b/>
        </w:rPr>
        <w:t>models</w:t>
      </w:r>
    </w:p>
    <w:p w14:paraId="3B489872" w14:textId="4E446A73" w:rsidR="007A563D" w:rsidRDefault="007A563D" w:rsidP="00645008">
      <w:pPr>
        <w:spacing w:after="0" w:line="480" w:lineRule="auto"/>
        <w:ind w:hanging="11"/>
        <w:jc w:val="both"/>
      </w:pPr>
      <w:r>
        <w:t xml:space="preserve">The </w:t>
      </w:r>
      <w:r w:rsidR="00C37478">
        <w:t xml:space="preserve">selected </w:t>
      </w:r>
      <w:r>
        <w:t xml:space="preserve">(Q)SAR </w:t>
      </w:r>
      <w:r w:rsidR="009F6708">
        <w:t>models</w:t>
      </w:r>
      <w:r w:rsidR="00F33303">
        <w:t xml:space="preserve">, </w:t>
      </w:r>
      <w:r w:rsidR="00443F34">
        <w:t>specified</w:t>
      </w:r>
      <w:r>
        <w:t xml:space="preserve"> in </w:t>
      </w:r>
      <w:r w:rsidRPr="00F33303">
        <w:rPr>
          <w:b/>
        </w:rPr>
        <w:t>Table 1</w:t>
      </w:r>
      <w:r w:rsidR="00F33303">
        <w:t>, are diverse not only regarding</w:t>
      </w:r>
      <w:r w:rsidR="003917B5">
        <w:t xml:space="preserve"> their</w:t>
      </w:r>
      <w:r w:rsidR="00F33303">
        <w:t xml:space="preserve"> prediction method (SAR/QSAR), but also with respect to </w:t>
      </w:r>
      <w:r w:rsidR="003917B5">
        <w:t xml:space="preserve">their </w:t>
      </w:r>
      <w:r w:rsidR="00F33303">
        <w:t>availability (free/commercial)</w:t>
      </w:r>
      <w:r>
        <w:t>.</w:t>
      </w:r>
      <w:r w:rsidR="00ED5F34">
        <w:t xml:space="preserve"> </w:t>
      </w:r>
      <w:r w:rsidR="0069271E">
        <w:t>For</w:t>
      </w:r>
      <w:r w:rsidR="00ED5F34">
        <w:t xml:space="preserve"> each</w:t>
      </w:r>
      <w:r>
        <w:t xml:space="preserve"> </w:t>
      </w:r>
      <w:r w:rsidR="00ED5F34">
        <w:t>system, t</w:t>
      </w:r>
      <w:r w:rsidR="005C5EFA">
        <w:t>he prediction</w:t>
      </w:r>
      <w:r w:rsidR="00F33303">
        <w:t xml:space="preserve"> </w:t>
      </w:r>
      <w:r w:rsidR="00ED5F34">
        <w:t>model</w:t>
      </w:r>
      <w:r w:rsidR="003B35FD">
        <w:t xml:space="preserve">(s) </w:t>
      </w:r>
      <w:r w:rsidR="00ED5F34">
        <w:t xml:space="preserve">related to </w:t>
      </w:r>
      <w:r w:rsidR="000E2333">
        <w:t>Ames mutagenicity</w:t>
      </w:r>
      <w:r w:rsidR="00ED5F34">
        <w:t xml:space="preserve"> </w:t>
      </w:r>
      <w:r w:rsidR="00CE4445">
        <w:t>was (</w:t>
      </w:r>
      <w:r w:rsidR="00ED5F34">
        <w:t>were</w:t>
      </w:r>
      <w:r w:rsidR="00CE4445">
        <w:t>)</w:t>
      </w:r>
      <w:r w:rsidR="00ED5F34">
        <w:t xml:space="preserve"> </w:t>
      </w:r>
      <w:r w:rsidR="00C37478">
        <w:t>applied</w:t>
      </w:r>
      <w:r w:rsidR="00ED5F34">
        <w:t>.</w:t>
      </w:r>
      <w:r w:rsidR="00E13822">
        <w:t xml:space="preserve"> </w:t>
      </w:r>
    </w:p>
    <w:p w14:paraId="6B0D2514" w14:textId="77777777" w:rsidR="00D21430" w:rsidRDefault="00D21430" w:rsidP="007A563D">
      <w:pPr>
        <w:spacing w:after="0" w:line="480" w:lineRule="auto"/>
        <w:ind w:left="720" w:hanging="720"/>
        <w:jc w:val="both"/>
        <w:rPr>
          <w:sz w:val="20"/>
        </w:rPr>
      </w:pPr>
    </w:p>
    <w:p w14:paraId="72545E08" w14:textId="2DDCA67F" w:rsidR="007A563D" w:rsidRPr="00AC6A15" w:rsidRDefault="007A563D" w:rsidP="007A563D">
      <w:pPr>
        <w:spacing w:after="0" w:line="480" w:lineRule="auto"/>
        <w:ind w:left="720" w:hanging="720"/>
        <w:jc w:val="both"/>
        <w:rPr>
          <w:b/>
          <w:sz w:val="20"/>
        </w:rPr>
      </w:pPr>
      <w:r w:rsidRPr="000F56DF">
        <w:rPr>
          <w:sz w:val="20"/>
        </w:rPr>
        <w:t>Table 1</w:t>
      </w:r>
      <w:r w:rsidR="00E13822">
        <w:rPr>
          <w:sz w:val="20"/>
        </w:rPr>
        <w:t>.</w:t>
      </w:r>
      <w:r w:rsidR="00E13822">
        <w:rPr>
          <w:sz w:val="20"/>
        </w:rPr>
        <w:tab/>
        <w:t>Model</w:t>
      </w:r>
      <w:r>
        <w:rPr>
          <w:sz w:val="20"/>
        </w:rPr>
        <w:t xml:space="preserve"> description</w:t>
      </w:r>
    </w:p>
    <w:tbl>
      <w:tblPr>
        <w:tblStyle w:val="TableGrid"/>
        <w:tblW w:w="94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47"/>
        <w:gridCol w:w="2409"/>
        <w:gridCol w:w="992"/>
        <w:gridCol w:w="1410"/>
        <w:gridCol w:w="1282"/>
      </w:tblGrid>
      <w:tr w:rsidR="00ED5F34" w:rsidRPr="00D53B66" w14:paraId="5FFD473A" w14:textId="77777777" w:rsidTr="002819EF">
        <w:trPr>
          <w:trHeight w:val="28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85D28" w14:textId="77777777" w:rsidR="00ED5F34" w:rsidRPr="00AC6A15" w:rsidRDefault="00ED5F34" w:rsidP="009168E9">
            <w:pPr>
              <w:pStyle w:val="ListParagraph"/>
              <w:spacing w:line="480" w:lineRule="auto"/>
              <w:ind w:left="0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Abbreviation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91F0" w14:textId="77777777" w:rsidR="00ED5F34" w:rsidRPr="00AC6A15" w:rsidRDefault="00ED5F34" w:rsidP="009168E9">
            <w:pPr>
              <w:pStyle w:val="ListParagraph"/>
              <w:spacing w:after="200" w:line="480" w:lineRule="auto"/>
              <w:ind w:left="0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Software</w:t>
            </w:r>
            <w:r w:rsidR="00FE65BA">
              <w:rPr>
                <w:sz w:val="18"/>
                <w:szCs w:val="20"/>
                <w:u w:val="single"/>
              </w:rPr>
              <w:t xml:space="preserve"> (version)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D65D4" w14:textId="77777777" w:rsidR="00ED5F34" w:rsidRPr="00AC6A15" w:rsidRDefault="00ED5F34" w:rsidP="009168E9">
            <w:pPr>
              <w:pStyle w:val="ListParagraph"/>
              <w:spacing w:after="200" w:line="480" w:lineRule="auto"/>
              <w:ind w:left="0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Model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882DFE" w14:textId="77777777" w:rsidR="00ED5F34" w:rsidRPr="00AC6A15" w:rsidRDefault="00ED5F34" w:rsidP="009168E9">
            <w:pPr>
              <w:pStyle w:val="ListParagraph"/>
              <w:spacing w:line="480" w:lineRule="auto"/>
              <w:ind w:left="0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Method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95910B0" w14:textId="77777777" w:rsidR="00ED5F34" w:rsidRDefault="00ED5F34" w:rsidP="009168E9">
            <w:pPr>
              <w:pStyle w:val="ListParagraph"/>
              <w:spacing w:line="480" w:lineRule="auto"/>
              <w:ind w:left="0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AD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08E1F83F" w14:textId="77777777" w:rsidR="00ED5F34" w:rsidRDefault="00ED5F34" w:rsidP="009168E9">
            <w:pPr>
              <w:pStyle w:val="ListParagraph"/>
              <w:spacing w:line="480" w:lineRule="auto"/>
              <w:ind w:left="0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Availability</w:t>
            </w:r>
          </w:p>
        </w:tc>
      </w:tr>
      <w:tr w:rsidR="006F3D10" w:rsidRPr="00A00ECF" w14:paraId="797E9509" w14:textId="77777777" w:rsidTr="002819EF">
        <w:trPr>
          <w:trHeight w:val="396"/>
        </w:trPr>
        <w:tc>
          <w:tcPr>
            <w:tcW w:w="947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2A25AB5" w14:textId="77777777" w:rsidR="006F3D10" w:rsidRPr="006F3D10" w:rsidRDefault="006F3D10" w:rsidP="006F3D10">
            <w:pPr>
              <w:pStyle w:val="ListParagraph"/>
              <w:ind w:left="0"/>
              <w:rPr>
                <w:i/>
                <w:sz w:val="18"/>
                <w:szCs w:val="20"/>
              </w:rPr>
            </w:pPr>
            <w:r w:rsidRPr="006F3D10">
              <w:rPr>
                <w:i/>
                <w:sz w:val="18"/>
                <w:szCs w:val="20"/>
              </w:rPr>
              <w:t>Global (Q)SARs</w:t>
            </w:r>
          </w:p>
        </w:tc>
      </w:tr>
      <w:tr w:rsidR="00ED5F34" w:rsidRPr="00A00ECF" w14:paraId="13401A01" w14:textId="77777777" w:rsidTr="002819EF">
        <w:trPr>
          <w:trHeight w:val="627"/>
        </w:trPr>
        <w:tc>
          <w:tcPr>
            <w:tcW w:w="1530" w:type="dxa"/>
            <w:tcBorders>
              <w:top w:val="nil"/>
              <w:bottom w:val="single" w:sz="4" w:space="0" w:color="FFFFFF" w:themeColor="background1"/>
            </w:tcBorders>
          </w:tcPr>
          <w:p w14:paraId="08287ED2" w14:textId="77777777" w:rsidR="00ED5F34" w:rsidRPr="00A00ECF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Toxtree</w:t>
            </w:r>
          </w:p>
        </w:tc>
        <w:tc>
          <w:tcPr>
            <w:tcW w:w="1847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1495FE35" w14:textId="77777777" w:rsidR="00ED5F34" w:rsidRPr="00A00ECF" w:rsidRDefault="00ED5F34" w:rsidP="000A2390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Toxtree </w:t>
            </w:r>
            <w:r w:rsidR="00FE65BA">
              <w:rPr>
                <w:rFonts w:ascii="Calibri" w:hAnsi="Calibri"/>
                <w:sz w:val="18"/>
                <w:szCs w:val="20"/>
              </w:rPr>
              <w:t>(</w:t>
            </w:r>
            <w:r w:rsidRPr="009366A0">
              <w:rPr>
                <w:rFonts w:ascii="Calibri" w:hAnsi="Calibri"/>
                <w:sz w:val="18"/>
                <w:szCs w:val="20"/>
              </w:rPr>
              <w:t>2.6.0</w:t>
            </w:r>
            <w:r w:rsidR="00FE65BA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5945E868" w14:textId="77777777" w:rsidR="00ED5F34" w:rsidRPr="00541FA6" w:rsidRDefault="00ED5F34" w:rsidP="000A2390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 w:rsidRPr="00231F52">
              <w:rPr>
                <w:rFonts w:ascii="Calibri" w:hAnsi="Calibri"/>
                <w:i/>
                <w:sz w:val="18"/>
                <w:szCs w:val="20"/>
              </w:rPr>
              <w:t>In vitro</w:t>
            </w:r>
            <w:r w:rsidRPr="009366A0">
              <w:rPr>
                <w:rFonts w:ascii="Calibri" w:hAnsi="Calibri"/>
                <w:sz w:val="18"/>
                <w:szCs w:val="20"/>
              </w:rPr>
              <w:t xml:space="preserve"> mutagenicity alerts (Ames test) by ISS</w:t>
            </w:r>
          </w:p>
        </w:tc>
        <w:tc>
          <w:tcPr>
            <w:tcW w:w="992" w:type="dxa"/>
            <w:tcBorders>
              <w:top w:val="nil"/>
              <w:bottom w:val="single" w:sz="4" w:space="0" w:color="FFFFFF" w:themeColor="background1"/>
            </w:tcBorders>
          </w:tcPr>
          <w:p w14:paraId="69F1BD9D" w14:textId="77777777" w:rsidR="00ED5F3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SAR</w:t>
            </w:r>
          </w:p>
        </w:tc>
        <w:tc>
          <w:tcPr>
            <w:tcW w:w="1410" w:type="dxa"/>
            <w:tcBorders>
              <w:top w:val="nil"/>
              <w:bottom w:val="single" w:sz="4" w:space="0" w:color="FFFFFF" w:themeColor="background1"/>
            </w:tcBorders>
          </w:tcPr>
          <w:p w14:paraId="7A041616" w14:textId="77777777" w:rsidR="00ED5F34" w:rsidRDefault="000C6F7C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</w:t>
            </w:r>
          </w:p>
        </w:tc>
        <w:tc>
          <w:tcPr>
            <w:tcW w:w="1282" w:type="dxa"/>
            <w:tcBorders>
              <w:top w:val="nil"/>
              <w:bottom w:val="single" w:sz="4" w:space="0" w:color="FFFFFF" w:themeColor="background1"/>
            </w:tcBorders>
          </w:tcPr>
          <w:p w14:paraId="09D032F8" w14:textId="77777777" w:rsidR="00ED5F3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Freeware</w:t>
            </w:r>
          </w:p>
        </w:tc>
      </w:tr>
      <w:tr w:rsidR="00ED5F34" w:rsidRPr="00A00ECF" w14:paraId="5F47260E" w14:textId="77777777" w:rsidTr="002819EF">
        <w:trPr>
          <w:trHeight w:val="2453"/>
        </w:trPr>
        <w:tc>
          <w:tcPr>
            <w:tcW w:w="1530" w:type="dxa"/>
            <w:tcBorders>
              <w:top w:val="single" w:sz="4" w:space="0" w:color="FFFFFF" w:themeColor="background1"/>
            </w:tcBorders>
          </w:tcPr>
          <w:p w14:paraId="1D325DE6" w14:textId="77777777" w:rsidR="00ED5F3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VEGA</w:t>
            </w:r>
          </w:p>
        </w:tc>
        <w:tc>
          <w:tcPr>
            <w:tcW w:w="1847" w:type="dxa"/>
            <w:tcBorders>
              <w:top w:val="single" w:sz="4" w:space="0" w:color="FFFFFF" w:themeColor="background1"/>
            </w:tcBorders>
          </w:tcPr>
          <w:p w14:paraId="3049099C" w14:textId="77777777" w:rsidR="00ED5F34" w:rsidRDefault="00ED5F34" w:rsidP="000A2390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VEGA </w:t>
            </w:r>
            <w:r w:rsidR="00FE65BA">
              <w:rPr>
                <w:rFonts w:ascii="Calibri" w:hAnsi="Calibri"/>
                <w:sz w:val="18"/>
                <w:szCs w:val="20"/>
              </w:rPr>
              <w:t>(</w:t>
            </w:r>
            <w:r>
              <w:rPr>
                <w:rFonts w:ascii="Calibri" w:hAnsi="Calibri"/>
                <w:sz w:val="18"/>
                <w:szCs w:val="20"/>
              </w:rPr>
              <w:t>1.1.1</w:t>
            </w:r>
            <w:r w:rsidR="00FE65BA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</w:tcPr>
          <w:p w14:paraId="7D028354" w14:textId="77777777" w:rsidR="00ED5F34" w:rsidRDefault="00ED5F34" w:rsidP="000A2390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Mutagenicity (Ames test) model (CAESAR) v.2.1.13</w:t>
            </w:r>
          </w:p>
          <w:p w14:paraId="64752FAA" w14:textId="77777777" w:rsidR="00ED5F34" w:rsidRDefault="00ED5F34" w:rsidP="000A2390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Mutagenicity (Ames test) model (SarPy/IRFMN) v.1.0.7</w:t>
            </w:r>
          </w:p>
          <w:p w14:paraId="7EB27A39" w14:textId="77777777" w:rsidR="00ED5F34" w:rsidRDefault="00ED5F34" w:rsidP="000A2390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Mutagenicity (Ames test) model (ISS) v.1.0.2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2007EB5F" w14:textId="77777777" w:rsidR="00ED5F3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QSAR</w:t>
            </w:r>
          </w:p>
          <w:p w14:paraId="6ADD6F5B" w14:textId="77777777" w:rsidR="00ED5F34" w:rsidRDefault="00ED5F34" w:rsidP="000A2390">
            <w:pPr>
              <w:pStyle w:val="ListParagraph"/>
              <w:spacing w:line="360" w:lineRule="auto"/>
              <w:ind w:left="0"/>
              <w:rPr>
                <w:sz w:val="18"/>
                <w:szCs w:val="20"/>
              </w:rPr>
            </w:pPr>
          </w:p>
          <w:p w14:paraId="4C05D9B6" w14:textId="77777777" w:rsidR="00ED5F3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QSAR</w:t>
            </w:r>
          </w:p>
          <w:p w14:paraId="177E0B70" w14:textId="77777777" w:rsidR="00ED5F34" w:rsidRDefault="00ED5F34" w:rsidP="000A2390">
            <w:pPr>
              <w:pStyle w:val="ListParagraph"/>
              <w:spacing w:line="360" w:lineRule="auto"/>
              <w:ind w:left="0"/>
              <w:rPr>
                <w:sz w:val="18"/>
                <w:szCs w:val="20"/>
              </w:rPr>
            </w:pPr>
          </w:p>
          <w:p w14:paraId="598985E0" w14:textId="77777777" w:rsidR="00ED5F3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SAR</w:t>
            </w:r>
          </w:p>
        </w:tc>
        <w:tc>
          <w:tcPr>
            <w:tcW w:w="1410" w:type="dxa"/>
            <w:tcBorders>
              <w:top w:val="single" w:sz="4" w:space="0" w:color="FFFFFF" w:themeColor="background1"/>
            </w:tcBorders>
          </w:tcPr>
          <w:p w14:paraId="0BE1D971" w14:textId="77777777" w:rsidR="00ED5F34" w:rsidRPr="00754F5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  <w:lang w:val="it-IT"/>
              </w:rPr>
            </w:pPr>
            <w:r w:rsidRPr="00754F54">
              <w:rPr>
                <w:sz w:val="18"/>
                <w:szCs w:val="20"/>
                <w:lang w:val="it-IT"/>
              </w:rPr>
              <w:t>VEGA ADI</w:t>
            </w:r>
          </w:p>
          <w:p w14:paraId="725F6936" w14:textId="77777777" w:rsidR="00ED5F34" w:rsidRPr="00754F54" w:rsidRDefault="00ED5F34" w:rsidP="000A2390">
            <w:pPr>
              <w:pStyle w:val="ListParagraph"/>
              <w:spacing w:line="360" w:lineRule="auto"/>
              <w:ind w:left="0"/>
              <w:rPr>
                <w:sz w:val="18"/>
                <w:szCs w:val="20"/>
                <w:lang w:val="it-IT"/>
              </w:rPr>
            </w:pPr>
          </w:p>
          <w:p w14:paraId="5154406A" w14:textId="77777777" w:rsidR="00ED5F34" w:rsidRPr="00754F5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  <w:lang w:val="it-IT"/>
              </w:rPr>
            </w:pPr>
            <w:r w:rsidRPr="00754F54">
              <w:rPr>
                <w:sz w:val="18"/>
                <w:szCs w:val="20"/>
                <w:lang w:val="it-IT"/>
              </w:rPr>
              <w:t>VEGA ADI</w:t>
            </w:r>
          </w:p>
          <w:p w14:paraId="28380FD4" w14:textId="77777777" w:rsidR="00ED5F34" w:rsidRPr="00754F54" w:rsidRDefault="00ED5F34" w:rsidP="000A2390">
            <w:pPr>
              <w:pStyle w:val="ListParagraph"/>
              <w:spacing w:line="360" w:lineRule="auto"/>
              <w:ind w:left="0"/>
              <w:rPr>
                <w:sz w:val="18"/>
                <w:szCs w:val="20"/>
                <w:lang w:val="it-IT"/>
              </w:rPr>
            </w:pPr>
          </w:p>
          <w:p w14:paraId="09C41262" w14:textId="77777777" w:rsidR="00ED5F34" w:rsidRPr="00754F5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  <w:lang w:val="it-IT"/>
              </w:rPr>
            </w:pPr>
            <w:r w:rsidRPr="00754F54">
              <w:rPr>
                <w:sz w:val="18"/>
                <w:szCs w:val="20"/>
                <w:lang w:val="it-IT"/>
              </w:rPr>
              <w:t>VEGA ADI</w:t>
            </w:r>
          </w:p>
        </w:tc>
        <w:tc>
          <w:tcPr>
            <w:tcW w:w="1282" w:type="dxa"/>
            <w:tcBorders>
              <w:top w:val="single" w:sz="4" w:space="0" w:color="FFFFFF" w:themeColor="background1"/>
            </w:tcBorders>
          </w:tcPr>
          <w:p w14:paraId="4201EF53" w14:textId="77777777" w:rsidR="00ED5F3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Freeware</w:t>
            </w:r>
          </w:p>
        </w:tc>
      </w:tr>
      <w:tr w:rsidR="00ED5F34" w:rsidRPr="00A00ECF" w14:paraId="4420ABF0" w14:textId="77777777" w:rsidTr="002819EF">
        <w:tc>
          <w:tcPr>
            <w:tcW w:w="1530" w:type="dxa"/>
          </w:tcPr>
          <w:p w14:paraId="478BDE4C" w14:textId="77777777" w:rsidR="00ED5F34" w:rsidRPr="00A00ECF" w:rsidRDefault="00ED5F34" w:rsidP="000A2390">
            <w:pPr>
              <w:pStyle w:val="ListParagraph"/>
              <w:spacing w:after="120"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Derek</w:t>
            </w:r>
          </w:p>
        </w:tc>
        <w:tc>
          <w:tcPr>
            <w:tcW w:w="1847" w:type="dxa"/>
          </w:tcPr>
          <w:p w14:paraId="5BDBE313" w14:textId="77777777" w:rsidR="00ED5F34" w:rsidRPr="00A00ECF" w:rsidRDefault="00ED5F34" w:rsidP="000A2390">
            <w:pPr>
              <w:spacing w:after="120" w:line="48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Derek Nexus</w:t>
            </w:r>
            <w:r w:rsidR="000C6F7C">
              <w:rPr>
                <w:rFonts w:ascii="Calibri" w:hAnsi="Calibri"/>
                <w:sz w:val="18"/>
                <w:szCs w:val="20"/>
              </w:rPr>
              <w:t>™</w:t>
            </w:r>
            <w:r w:rsidR="00FE65BA">
              <w:rPr>
                <w:rFonts w:ascii="Calibri" w:hAnsi="Calibri"/>
                <w:sz w:val="18"/>
                <w:szCs w:val="20"/>
              </w:rPr>
              <w:t xml:space="preserve"> (</w:t>
            </w:r>
            <w:r>
              <w:rPr>
                <w:rFonts w:ascii="Calibri" w:hAnsi="Calibri"/>
                <w:sz w:val="18"/>
                <w:szCs w:val="20"/>
              </w:rPr>
              <w:t>4.1.0</w:t>
            </w:r>
            <w:r w:rsidR="00FE65BA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2409" w:type="dxa"/>
          </w:tcPr>
          <w:p w14:paraId="1DA32519" w14:textId="77777777" w:rsidR="00ED5F34" w:rsidRPr="00A00ECF" w:rsidRDefault="00ED5F34" w:rsidP="000A2390">
            <w:pPr>
              <w:spacing w:after="120" w:line="48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Mutagenicity </w:t>
            </w:r>
            <w:r w:rsidRPr="00231F52">
              <w:rPr>
                <w:i/>
                <w:sz w:val="18"/>
                <w:szCs w:val="20"/>
              </w:rPr>
              <w:t>in vitro</w:t>
            </w:r>
          </w:p>
        </w:tc>
        <w:tc>
          <w:tcPr>
            <w:tcW w:w="992" w:type="dxa"/>
          </w:tcPr>
          <w:p w14:paraId="16D2F7B7" w14:textId="77777777" w:rsidR="00ED5F34" w:rsidRDefault="00ED5F34" w:rsidP="000A2390">
            <w:pPr>
              <w:pStyle w:val="ListParagraph"/>
              <w:spacing w:after="120"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SAR</w:t>
            </w:r>
          </w:p>
        </w:tc>
        <w:tc>
          <w:tcPr>
            <w:tcW w:w="1410" w:type="dxa"/>
          </w:tcPr>
          <w:p w14:paraId="3675F3D5" w14:textId="77777777" w:rsidR="00ED5F34" w:rsidRDefault="000C6F7C" w:rsidP="000A2390">
            <w:pPr>
              <w:pStyle w:val="ListParagraph"/>
              <w:spacing w:after="120" w:line="480" w:lineRule="auto"/>
              <w:ind w:left="-250" w:firstLine="2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</w:t>
            </w:r>
          </w:p>
        </w:tc>
        <w:tc>
          <w:tcPr>
            <w:tcW w:w="1282" w:type="dxa"/>
          </w:tcPr>
          <w:p w14:paraId="66180FBD" w14:textId="77777777" w:rsidR="00ED5F34" w:rsidRDefault="00ED5F34" w:rsidP="000A2390">
            <w:pPr>
              <w:pStyle w:val="ListParagraph"/>
              <w:spacing w:after="120" w:line="480" w:lineRule="auto"/>
              <w:ind w:left="-249" w:firstLine="24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Commercial </w:t>
            </w:r>
          </w:p>
        </w:tc>
      </w:tr>
      <w:tr w:rsidR="00ED5F34" w:rsidRPr="00A00ECF" w14:paraId="7498848B" w14:textId="77777777" w:rsidTr="002819EF">
        <w:trPr>
          <w:trHeight w:val="311"/>
        </w:trPr>
        <w:tc>
          <w:tcPr>
            <w:tcW w:w="1530" w:type="dxa"/>
          </w:tcPr>
          <w:p w14:paraId="3470EDB4" w14:textId="77777777" w:rsidR="00ED5F34" w:rsidRPr="00A00ECF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Sarah</w:t>
            </w:r>
          </w:p>
        </w:tc>
        <w:tc>
          <w:tcPr>
            <w:tcW w:w="1847" w:type="dxa"/>
          </w:tcPr>
          <w:p w14:paraId="6B5BF239" w14:textId="77777777" w:rsidR="00ED5F34" w:rsidRPr="00A00ECF" w:rsidRDefault="00FE65BA" w:rsidP="000A2390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Sarah Nexus</w:t>
            </w:r>
            <w:r w:rsidR="000C6F7C">
              <w:rPr>
                <w:rFonts w:ascii="Calibri" w:hAnsi="Calibri"/>
                <w:sz w:val="18"/>
                <w:szCs w:val="20"/>
              </w:rPr>
              <w:t>™</w:t>
            </w:r>
            <w:r>
              <w:rPr>
                <w:rFonts w:ascii="Calibri" w:hAnsi="Calibri"/>
                <w:sz w:val="18"/>
                <w:szCs w:val="20"/>
              </w:rPr>
              <w:t xml:space="preserve"> (</w:t>
            </w:r>
            <w:r w:rsidR="00ED5F34">
              <w:rPr>
                <w:rFonts w:ascii="Calibri" w:hAnsi="Calibri"/>
                <w:sz w:val="18"/>
                <w:szCs w:val="20"/>
              </w:rPr>
              <w:t>1.2.0</w:t>
            </w:r>
            <w:r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2409" w:type="dxa"/>
          </w:tcPr>
          <w:p w14:paraId="41685AC2" w14:textId="77777777" w:rsidR="00ED5F34" w:rsidRPr="00A00ECF" w:rsidRDefault="00ED5F34" w:rsidP="000A2390">
            <w:pPr>
              <w:spacing w:line="48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Ames mutagenicity</w:t>
            </w:r>
          </w:p>
        </w:tc>
        <w:tc>
          <w:tcPr>
            <w:tcW w:w="992" w:type="dxa"/>
          </w:tcPr>
          <w:p w14:paraId="5B6EAD99" w14:textId="77777777" w:rsidR="00ED5F34" w:rsidRDefault="00ED5F34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QSAR</w:t>
            </w:r>
          </w:p>
        </w:tc>
        <w:tc>
          <w:tcPr>
            <w:tcW w:w="1410" w:type="dxa"/>
          </w:tcPr>
          <w:p w14:paraId="4006C0B7" w14:textId="77777777" w:rsidR="00ED5F34" w:rsidRDefault="00ED5F34" w:rsidP="000A2390">
            <w:pPr>
              <w:pStyle w:val="ListParagraph"/>
              <w:spacing w:line="480" w:lineRule="auto"/>
              <w:ind w:left="-250" w:firstLine="2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Sarah AD</w:t>
            </w:r>
          </w:p>
        </w:tc>
        <w:tc>
          <w:tcPr>
            <w:tcW w:w="1282" w:type="dxa"/>
          </w:tcPr>
          <w:p w14:paraId="5E1C092A" w14:textId="77777777" w:rsidR="00ED5F34" w:rsidRDefault="00ED5F34" w:rsidP="000A2390">
            <w:pPr>
              <w:pStyle w:val="ListParagraph"/>
              <w:spacing w:line="480" w:lineRule="auto"/>
              <w:ind w:left="-250" w:firstLine="2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Commercial</w:t>
            </w:r>
          </w:p>
        </w:tc>
      </w:tr>
      <w:tr w:rsidR="00617AA8" w:rsidRPr="00A00ECF" w14:paraId="0AAD1C54" w14:textId="77777777" w:rsidTr="002819EF">
        <w:tc>
          <w:tcPr>
            <w:tcW w:w="5786" w:type="dxa"/>
            <w:gridSpan w:val="3"/>
          </w:tcPr>
          <w:p w14:paraId="1A21C51B" w14:textId="77777777" w:rsidR="00617AA8" w:rsidRPr="004A46EB" w:rsidRDefault="00617AA8" w:rsidP="000A2390">
            <w:pPr>
              <w:spacing w:line="480" w:lineRule="auto"/>
              <w:rPr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</w:rPr>
              <w:t>Local QSARs for a</w:t>
            </w:r>
            <w:r w:rsidRPr="00563640">
              <w:rPr>
                <w:i/>
                <w:sz w:val="18"/>
                <w:szCs w:val="20"/>
              </w:rPr>
              <w:t>romatic azo compounds</w:t>
            </w:r>
          </w:p>
        </w:tc>
        <w:tc>
          <w:tcPr>
            <w:tcW w:w="992" w:type="dxa"/>
          </w:tcPr>
          <w:p w14:paraId="1C9352FC" w14:textId="77777777" w:rsidR="00617AA8" w:rsidRPr="004A46EB" w:rsidRDefault="00617AA8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410" w:type="dxa"/>
          </w:tcPr>
          <w:p w14:paraId="5AE34D89" w14:textId="77777777" w:rsidR="00617AA8" w:rsidRPr="004A46EB" w:rsidRDefault="00617AA8" w:rsidP="000A2390">
            <w:pPr>
              <w:pStyle w:val="ListParagraph"/>
              <w:spacing w:line="480" w:lineRule="auto"/>
              <w:ind w:left="-250" w:firstLine="25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82" w:type="dxa"/>
          </w:tcPr>
          <w:p w14:paraId="5D225F41" w14:textId="77777777" w:rsidR="00617AA8" w:rsidRPr="004A46EB" w:rsidRDefault="00617AA8" w:rsidP="000A2390">
            <w:pPr>
              <w:pStyle w:val="ListParagraph"/>
              <w:spacing w:line="480" w:lineRule="auto"/>
              <w:ind w:left="-250" w:firstLine="250"/>
              <w:rPr>
                <w:sz w:val="18"/>
                <w:szCs w:val="20"/>
                <w:highlight w:val="yellow"/>
              </w:rPr>
            </w:pPr>
          </w:p>
        </w:tc>
      </w:tr>
      <w:tr w:rsidR="00563640" w:rsidRPr="00A00ECF" w14:paraId="47D50800" w14:textId="77777777" w:rsidTr="00DA4616">
        <w:tc>
          <w:tcPr>
            <w:tcW w:w="1530" w:type="dxa"/>
          </w:tcPr>
          <w:p w14:paraId="2E248295" w14:textId="77777777" w:rsidR="00563640" w:rsidRPr="00DA4616" w:rsidRDefault="00563640" w:rsidP="000A2390">
            <w:pPr>
              <w:spacing w:line="480" w:lineRule="auto"/>
              <w:rPr>
                <w:sz w:val="18"/>
                <w:szCs w:val="20"/>
              </w:rPr>
            </w:pPr>
            <w:r w:rsidRPr="00DA4616">
              <w:rPr>
                <w:sz w:val="18"/>
                <w:szCs w:val="20"/>
              </w:rPr>
              <w:t>CORAL</w:t>
            </w:r>
          </w:p>
        </w:tc>
        <w:tc>
          <w:tcPr>
            <w:tcW w:w="1847" w:type="dxa"/>
            <w:shd w:val="clear" w:color="auto" w:fill="auto"/>
          </w:tcPr>
          <w:p w14:paraId="49B24D38" w14:textId="4219C586" w:rsidR="00563640" w:rsidRPr="00DA4616" w:rsidRDefault="004A46EB" w:rsidP="002819EF">
            <w:pPr>
              <w:spacing w:line="480" w:lineRule="auto"/>
              <w:rPr>
                <w:sz w:val="18"/>
                <w:szCs w:val="20"/>
              </w:rPr>
            </w:pPr>
            <w:r w:rsidRPr="00DA4616">
              <w:rPr>
                <w:sz w:val="18"/>
                <w:szCs w:val="20"/>
              </w:rPr>
              <w:t xml:space="preserve">CORAL </w:t>
            </w:r>
          </w:p>
        </w:tc>
        <w:tc>
          <w:tcPr>
            <w:tcW w:w="2409" w:type="dxa"/>
            <w:shd w:val="clear" w:color="auto" w:fill="auto"/>
          </w:tcPr>
          <w:p w14:paraId="584934EF" w14:textId="77777777" w:rsidR="00563640" w:rsidRPr="00DA4616" w:rsidRDefault="002819EF" w:rsidP="000A2390">
            <w:pPr>
              <w:spacing w:line="480" w:lineRule="auto"/>
              <w:rPr>
                <w:sz w:val="18"/>
                <w:szCs w:val="20"/>
              </w:rPr>
            </w:pPr>
            <w:r w:rsidRPr="00DA4616">
              <w:rPr>
                <w:sz w:val="18"/>
                <w:szCs w:val="20"/>
              </w:rPr>
              <w:t>Ames mutagenicity</w:t>
            </w:r>
          </w:p>
        </w:tc>
        <w:tc>
          <w:tcPr>
            <w:tcW w:w="992" w:type="dxa"/>
          </w:tcPr>
          <w:p w14:paraId="0B809BA1" w14:textId="77777777" w:rsidR="00563640" w:rsidRPr="00DA4616" w:rsidRDefault="00EE3899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 w:rsidRPr="00DA4616">
              <w:rPr>
                <w:sz w:val="18"/>
                <w:szCs w:val="20"/>
              </w:rPr>
              <w:t>QSAR</w:t>
            </w:r>
          </w:p>
        </w:tc>
        <w:tc>
          <w:tcPr>
            <w:tcW w:w="1410" w:type="dxa"/>
          </w:tcPr>
          <w:p w14:paraId="5FDF2B0E" w14:textId="77777777" w:rsidR="00563640" w:rsidRPr="00DA4616" w:rsidRDefault="00754F54" w:rsidP="002819EF">
            <w:pPr>
              <w:pStyle w:val="ListParagraph"/>
              <w:spacing w:line="480" w:lineRule="auto"/>
              <w:ind w:left="-250" w:firstLine="250"/>
              <w:rPr>
                <w:sz w:val="18"/>
                <w:szCs w:val="20"/>
              </w:rPr>
            </w:pPr>
            <w:r w:rsidRPr="00DA4616">
              <w:rPr>
                <w:sz w:val="18"/>
                <w:szCs w:val="20"/>
              </w:rPr>
              <w:t>DefectSMILES</w:t>
            </w:r>
          </w:p>
        </w:tc>
        <w:tc>
          <w:tcPr>
            <w:tcW w:w="1282" w:type="dxa"/>
          </w:tcPr>
          <w:p w14:paraId="0F83A170" w14:textId="41519308" w:rsidR="00563640" w:rsidRPr="00DA4616" w:rsidRDefault="00754F54" w:rsidP="000A2390">
            <w:pPr>
              <w:pStyle w:val="ListParagraph"/>
              <w:spacing w:line="480" w:lineRule="auto"/>
              <w:ind w:left="-250" w:firstLine="250"/>
              <w:rPr>
                <w:sz w:val="18"/>
                <w:szCs w:val="20"/>
              </w:rPr>
            </w:pPr>
            <w:r w:rsidRPr="00DA4616">
              <w:rPr>
                <w:sz w:val="18"/>
                <w:szCs w:val="20"/>
              </w:rPr>
              <w:t>Freeware</w:t>
            </w:r>
          </w:p>
        </w:tc>
      </w:tr>
      <w:tr w:rsidR="00563640" w:rsidRPr="00A00ECF" w14:paraId="5E776B54" w14:textId="77777777" w:rsidTr="00DA4616">
        <w:tc>
          <w:tcPr>
            <w:tcW w:w="1530" w:type="dxa"/>
          </w:tcPr>
          <w:p w14:paraId="52A0B853" w14:textId="77777777" w:rsidR="00563640" w:rsidRDefault="00563640" w:rsidP="000A2390">
            <w:pPr>
              <w:spacing w:line="48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istKNN</w:t>
            </w:r>
          </w:p>
        </w:tc>
        <w:tc>
          <w:tcPr>
            <w:tcW w:w="1847" w:type="dxa"/>
            <w:shd w:val="clear" w:color="auto" w:fill="auto"/>
          </w:tcPr>
          <w:p w14:paraId="7ACC1733" w14:textId="77777777" w:rsidR="00563640" w:rsidRPr="00563640" w:rsidRDefault="004A46EB" w:rsidP="002819EF">
            <w:pPr>
              <w:spacing w:line="480" w:lineRule="auto"/>
              <w:rPr>
                <w:sz w:val="18"/>
                <w:szCs w:val="20"/>
              </w:rPr>
            </w:pPr>
            <w:r w:rsidRPr="002819EF">
              <w:rPr>
                <w:sz w:val="18"/>
                <w:szCs w:val="20"/>
              </w:rPr>
              <w:t>istKNN (</w:t>
            </w:r>
            <w:r w:rsidR="002819EF" w:rsidRPr="002819EF">
              <w:rPr>
                <w:sz w:val="18"/>
                <w:szCs w:val="20"/>
              </w:rPr>
              <w:t>0.9</w:t>
            </w:r>
            <w:r w:rsidRPr="002819EF">
              <w:rPr>
                <w:sz w:val="18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02A2F193" w14:textId="77777777" w:rsidR="00563640" w:rsidRPr="00DA4616" w:rsidRDefault="002819EF" w:rsidP="000A2390">
            <w:pPr>
              <w:spacing w:line="480" w:lineRule="auto"/>
              <w:rPr>
                <w:sz w:val="18"/>
                <w:szCs w:val="20"/>
              </w:rPr>
            </w:pPr>
            <w:r w:rsidRPr="00DA4616">
              <w:rPr>
                <w:sz w:val="18"/>
                <w:szCs w:val="20"/>
              </w:rPr>
              <w:t>Ames mutagenicity</w:t>
            </w:r>
          </w:p>
        </w:tc>
        <w:tc>
          <w:tcPr>
            <w:tcW w:w="992" w:type="dxa"/>
          </w:tcPr>
          <w:p w14:paraId="401A3333" w14:textId="77777777" w:rsidR="00563640" w:rsidRPr="00DA4616" w:rsidRDefault="00EE3899" w:rsidP="000A2390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 w:rsidRPr="00DA4616">
              <w:rPr>
                <w:sz w:val="18"/>
                <w:szCs w:val="20"/>
              </w:rPr>
              <w:t>QSAR</w:t>
            </w:r>
          </w:p>
        </w:tc>
        <w:tc>
          <w:tcPr>
            <w:tcW w:w="1410" w:type="dxa"/>
          </w:tcPr>
          <w:p w14:paraId="482AF81B" w14:textId="71BB7DB8" w:rsidR="00563640" w:rsidRPr="00DA4616" w:rsidRDefault="00754F54" w:rsidP="002819EF">
            <w:pPr>
              <w:spacing w:line="480" w:lineRule="auto"/>
              <w:rPr>
                <w:sz w:val="18"/>
                <w:szCs w:val="20"/>
              </w:rPr>
            </w:pPr>
            <w:r w:rsidRPr="00DA4616">
              <w:rPr>
                <w:sz w:val="18"/>
                <w:szCs w:val="20"/>
              </w:rPr>
              <w:t>/</w:t>
            </w:r>
          </w:p>
        </w:tc>
        <w:tc>
          <w:tcPr>
            <w:tcW w:w="1282" w:type="dxa"/>
          </w:tcPr>
          <w:p w14:paraId="337D06B7" w14:textId="04883576" w:rsidR="00563640" w:rsidRPr="00DA4616" w:rsidRDefault="00813659" w:rsidP="000A2390">
            <w:pPr>
              <w:pStyle w:val="ListParagraph"/>
              <w:spacing w:line="480" w:lineRule="auto"/>
              <w:ind w:left="-250" w:firstLine="2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Commercial</w:t>
            </w:r>
          </w:p>
        </w:tc>
      </w:tr>
    </w:tbl>
    <w:p w14:paraId="265D4EFB" w14:textId="09DCE683" w:rsidR="00D21430" w:rsidRDefault="00CE4445" w:rsidP="00CE4445">
      <w:pPr>
        <w:spacing w:after="0" w:line="480" w:lineRule="auto"/>
        <w:rPr>
          <w:sz w:val="20"/>
        </w:rPr>
      </w:pPr>
      <w:r>
        <w:rPr>
          <w:sz w:val="20"/>
        </w:rPr>
        <w:t>AD(I): applicability domain (index); (Q)SAR: (quantitative) structure-activity relationship</w:t>
      </w:r>
    </w:p>
    <w:p w14:paraId="7A83D799" w14:textId="77777777" w:rsidR="00CE4445" w:rsidRDefault="00CE4445" w:rsidP="00CE4445">
      <w:pPr>
        <w:spacing w:after="0" w:line="480" w:lineRule="auto"/>
      </w:pPr>
    </w:p>
    <w:p w14:paraId="17824F5E" w14:textId="77777777" w:rsidR="00001806" w:rsidRPr="00612370" w:rsidRDefault="00D601EA" w:rsidP="00F94AD3">
      <w:pPr>
        <w:pStyle w:val="ListParagraph"/>
        <w:keepNext/>
        <w:keepLines/>
        <w:widowControl w:val="0"/>
        <w:numPr>
          <w:ilvl w:val="0"/>
          <w:numId w:val="1"/>
        </w:numPr>
        <w:spacing w:after="0" w:line="480" w:lineRule="auto"/>
        <w:ind w:left="714" w:hanging="357"/>
        <w:jc w:val="both"/>
        <w:rPr>
          <w:i/>
          <w:sz w:val="24"/>
        </w:rPr>
      </w:pPr>
      <w:r w:rsidRPr="00612370">
        <w:rPr>
          <w:i/>
          <w:sz w:val="24"/>
        </w:rPr>
        <w:lastRenderedPageBreak/>
        <w:t>Toxtree</w:t>
      </w:r>
    </w:p>
    <w:p w14:paraId="7D2B8024" w14:textId="4B9215D3" w:rsidR="00D601EA" w:rsidRDefault="001053A6" w:rsidP="00F94AD3">
      <w:pPr>
        <w:keepNext/>
        <w:keepLines/>
        <w:widowControl w:val="0"/>
        <w:spacing w:after="0" w:line="480" w:lineRule="auto"/>
        <w:jc w:val="both"/>
      </w:pPr>
      <w:r>
        <w:t>Toxtree</w:t>
      </w:r>
      <w:r w:rsidR="002930AE">
        <w:t xml:space="preserve"> (www.toxtree.sourceforge.net)</w:t>
      </w:r>
      <w:r>
        <w:t xml:space="preserve"> is </w:t>
      </w:r>
      <w:r w:rsidR="00545B00">
        <w:t xml:space="preserve">an open source software application of the Joint Research Centre of the European Union </w:t>
      </w:r>
      <w:r w:rsidR="0095541B">
        <w:t>(E</w:t>
      </w:r>
      <w:r w:rsidR="002E2F08">
        <w:t xml:space="preserve">uropean </w:t>
      </w:r>
      <w:r w:rsidR="0095541B">
        <w:t>C</w:t>
      </w:r>
      <w:r w:rsidR="002E2F08">
        <w:t>ommis</w:t>
      </w:r>
      <w:r w:rsidR="00151403">
        <w:t>s</w:t>
      </w:r>
      <w:r w:rsidR="002E2F08">
        <w:t>ion</w:t>
      </w:r>
      <w:r w:rsidR="0095541B">
        <w:t>, 2016</w:t>
      </w:r>
      <w:r w:rsidR="00F45A6F">
        <w:t>b</w:t>
      </w:r>
      <w:r w:rsidR="0095541B">
        <w:t>)</w:t>
      </w:r>
      <w:r w:rsidR="00545B00">
        <w:t xml:space="preserve">. </w:t>
      </w:r>
      <w:r w:rsidR="00C1377B">
        <w:t xml:space="preserve">Toxic hazard of test compounds </w:t>
      </w:r>
      <w:r w:rsidR="00151403">
        <w:t>is</w:t>
      </w:r>
      <w:r w:rsidR="00C1377B">
        <w:t xml:space="preserve"> </w:t>
      </w:r>
      <w:r w:rsidR="00CC6858">
        <w:t>predicted</w:t>
      </w:r>
      <w:r w:rsidR="00C1377B">
        <w:t xml:space="preserve"> based on a decision tree-approach, constructed through the definition of rules </w:t>
      </w:r>
      <w:r w:rsidR="00D77B44">
        <w:t xml:space="preserve">flagging </w:t>
      </w:r>
      <w:r w:rsidR="00C1377B">
        <w:t>alert</w:t>
      </w:r>
      <w:r w:rsidR="00D77B44">
        <w:t>s</w:t>
      </w:r>
      <w:r w:rsidR="00C1377B">
        <w:t xml:space="preserve"> for the </w:t>
      </w:r>
      <w:r w:rsidR="00DB7F0D">
        <w:t xml:space="preserve">selected </w:t>
      </w:r>
      <w:r w:rsidR="00C1377B">
        <w:t xml:space="preserve">endpoint. </w:t>
      </w:r>
      <w:r w:rsidR="00C37478">
        <w:t>For</w:t>
      </w:r>
      <w:r w:rsidR="00C1377B">
        <w:t xml:space="preserve"> </w:t>
      </w:r>
      <w:r w:rsidR="00C171C3">
        <w:t xml:space="preserve">Ames </w:t>
      </w:r>
      <w:r w:rsidR="00C1377B">
        <w:t xml:space="preserve">mutagenicity, </w:t>
      </w:r>
      <w:r w:rsidR="00C171C3" w:rsidRPr="00E2648C">
        <w:t>44</w:t>
      </w:r>
      <w:r w:rsidR="00C1377B" w:rsidRPr="00E2648C">
        <w:t xml:space="preserve"> </w:t>
      </w:r>
      <w:r w:rsidR="0027584F" w:rsidRPr="00E2648C">
        <w:t>S</w:t>
      </w:r>
      <w:r w:rsidR="0027584F">
        <w:t>A</w:t>
      </w:r>
      <w:r w:rsidR="00CC2AC8">
        <w:t>s</w:t>
      </w:r>
      <w:r w:rsidR="00C1377B">
        <w:t xml:space="preserve"> </w:t>
      </w:r>
      <w:r w:rsidR="008B38FB">
        <w:t xml:space="preserve">are incorporated. A </w:t>
      </w:r>
      <w:r w:rsidR="007D42EB">
        <w:t>QSAR module for aromatic amines and</w:t>
      </w:r>
      <w:r w:rsidR="007D42EB" w:rsidRPr="00CF0FB2">
        <w:t xml:space="preserve"> αβ-unsaturated aliphatic aldehydes</w:t>
      </w:r>
      <w:r w:rsidR="008B38FB">
        <w:t xml:space="preserve"> is also available and allows to refine the prediction of</w:t>
      </w:r>
      <w:r w:rsidR="007D42EB">
        <w:t xml:space="preserve"> these specific chemical classes</w:t>
      </w:r>
      <w:r w:rsidR="008B38FB">
        <w:t xml:space="preserve"> (</w:t>
      </w:r>
      <w:r w:rsidR="007D42EB">
        <w:t>not considered in the current study</w:t>
      </w:r>
      <w:r w:rsidR="008B38FB">
        <w:t>)</w:t>
      </w:r>
      <w:r w:rsidR="007D42EB">
        <w:t>.</w:t>
      </w:r>
      <w:r w:rsidR="00CF0FB2">
        <w:t xml:space="preserve"> </w:t>
      </w:r>
      <w:r w:rsidR="008B38FB">
        <w:t>Toxtree does not feature</w:t>
      </w:r>
      <w:r w:rsidR="00C171C3">
        <w:t xml:space="preserve"> a</w:t>
      </w:r>
      <w:r w:rsidR="002E2F08">
        <w:t xml:space="preserve">n </w:t>
      </w:r>
      <w:r w:rsidR="00C171C3">
        <w:t xml:space="preserve">applicability domain </w:t>
      </w:r>
      <w:r w:rsidR="002E2F08">
        <w:t>functionality</w:t>
      </w:r>
      <w:r w:rsidR="00A014DF">
        <w:t>.</w:t>
      </w:r>
      <w:r w:rsidR="00C171C3">
        <w:t xml:space="preserve"> </w:t>
      </w:r>
      <w:r w:rsidR="00C1377B">
        <w:t xml:space="preserve"> </w:t>
      </w:r>
    </w:p>
    <w:p w14:paraId="08DFF1B9" w14:textId="77777777" w:rsidR="00612370" w:rsidRPr="00D601EA" w:rsidRDefault="00612370" w:rsidP="00B65EAD">
      <w:pPr>
        <w:spacing w:after="0" w:line="480" w:lineRule="auto"/>
        <w:jc w:val="both"/>
      </w:pPr>
    </w:p>
    <w:p w14:paraId="1248F770" w14:textId="77777777" w:rsidR="00D601EA" w:rsidRDefault="00D601EA" w:rsidP="0061237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i/>
          <w:sz w:val="24"/>
        </w:rPr>
      </w:pPr>
      <w:r w:rsidRPr="00C171C3">
        <w:rPr>
          <w:i/>
          <w:sz w:val="24"/>
        </w:rPr>
        <w:t xml:space="preserve">VEGA </w:t>
      </w:r>
    </w:p>
    <w:p w14:paraId="14494421" w14:textId="08ECCB21" w:rsidR="00CC2AC8" w:rsidRDefault="005A3AD9" w:rsidP="006F15FC">
      <w:pPr>
        <w:spacing w:after="0" w:line="480" w:lineRule="auto"/>
        <w:jc w:val="both"/>
      </w:pPr>
      <w:r>
        <w:t xml:space="preserve">The </w:t>
      </w:r>
      <w:r w:rsidR="00DE655B">
        <w:t>VEGA</w:t>
      </w:r>
      <w:r>
        <w:t xml:space="preserve"> platform</w:t>
      </w:r>
      <w:r w:rsidR="00DE655B">
        <w:t xml:space="preserve"> </w:t>
      </w:r>
      <w:r w:rsidR="002930AE">
        <w:t>(www.vega-qsar.eu)</w:t>
      </w:r>
      <w:r w:rsidR="002930AE" w:rsidRPr="002930AE">
        <w:t xml:space="preserve"> </w:t>
      </w:r>
      <w:r w:rsidR="00AE2DBB">
        <w:t>has been</w:t>
      </w:r>
      <w:r w:rsidR="00DE655B">
        <w:t xml:space="preserve"> developed by the </w:t>
      </w:r>
      <w:r w:rsidR="00DE655B" w:rsidRPr="00DE655B">
        <w:t>Istituto di Ricerche Farmacologiche Mario Negri</w:t>
      </w:r>
      <w:r w:rsidR="00DE655B">
        <w:t xml:space="preserve"> </w:t>
      </w:r>
      <w:r w:rsidR="00503D7B">
        <w:t>(IRFMN</w:t>
      </w:r>
      <w:r w:rsidR="002930AE">
        <w:t>) and</w:t>
      </w:r>
      <w:r w:rsidR="0027584F">
        <w:t xml:space="preserve"> can be downloaded for </w:t>
      </w:r>
      <w:r w:rsidR="00DE655B">
        <w:t>free</w:t>
      </w:r>
      <w:r w:rsidR="002930AE">
        <w:t>. It</w:t>
      </w:r>
      <w:r w:rsidR="00DE655B">
        <w:t xml:space="preserve"> comprises an array of </w:t>
      </w:r>
      <w:r>
        <w:t>toxicity estimation</w:t>
      </w:r>
      <w:r w:rsidR="00DE655B">
        <w:t xml:space="preserve"> models</w:t>
      </w:r>
      <w:r w:rsidR="0027584F">
        <w:t xml:space="preserve">, </w:t>
      </w:r>
      <w:r w:rsidR="00443F34">
        <w:t xml:space="preserve">including </w:t>
      </w:r>
      <w:r w:rsidR="00AE2DBB">
        <w:t>3</w:t>
      </w:r>
      <w:r w:rsidR="0027584F">
        <w:t xml:space="preserve"> for the evaluation of </w:t>
      </w:r>
      <w:r w:rsidR="005D2341">
        <w:t xml:space="preserve">Ames </w:t>
      </w:r>
      <w:r w:rsidR="0027584F">
        <w:t>mutagenicity</w:t>
      </w:r>
      <w:r w:rsidR="001E3009">
        <w:t xml:space="preserve"> </w:t>
      </w:r>
      <w:r>
        <w:t>i.e. CAESAR, SarPy and ISS</w:t>
      </w:r>
      <w:r w:rsidR="00F03BCD">
        <w:t xml:space="preserve"> (IRFMN, 2016a</w:t>
      </w:r>
      <w:r w:rsidR="001E3009">
        <w:t>)</w:t>
      </w:r>
      <w:r>
        <w:t>.</w:t>
      </w:r>
      <w:r w:rsidR="00003E03">
        <w:t xml:space="preserve"> </w:t>
      </w:r>
      <w:r w:rsidR="00CC2AC8">
        <w:t>CAESAR and SarPy</w:t>
      </w:r>
      <w:r w:rsidR="004D5774">
        <w:t>,</w:t>
      </w:r>
      <w:r w:rsidR="00CC2AC8">
        <w:t xml:space="preserve"> </w:t>
      </w:r>
      <w:r w:rsidR="004D5774">
        <w:t xml:space="preserve">both </w:t>
      </w:r>
      <w:r w:rsidR="00CC2AC8">
        <w:t>QSAR models,</w:t>
      </w:r>
      <w:r w:rsidR="004D5774">
        <w:t xml:space="preserve"> </w:t>
      </w:r>
      <w:r w:rsidR="0076266A">
        <w:t>were</w:t>
      </w:r>
      <w:r w:rsidR="00CC6858">
        <w:t xml:space="preserve"> developed</w:t>
      </w:r>
      <w:r w:rsidR="00CC2AC8">
        <w:t xml:space="preserve"> using the same training set of 4337 compounds. However, the</w:t>
      </w:r>
      <w:r w:rsidR="004D5774">
        <w:t>ir</w:t>
      </w:r>
      <w:r w:rsidR="00CC2AC8">
        <w:t xml:space="preserve"> prediction </w:t>
      </w:r>
      <w:r w:rsidR="004D5774">
        <w:t>technique</w:t>
      </w:r>
      <w:r w:rsidR="00CC2AC8">
        <w:t xml:space="preserve"> differs in the sense that CAESAR combines a mac</w:t>
      </w:r>
      <w:r w:rsidR="00DA113C">
        <w:t>hine-learning algorithm with 2</w:t>
      </w:r>
      <w:r w:rsidR="00CC2AC8">
        <w:t xml:space="preserve"> sets of </w:t>
      </w:r>
      <w:r w:rsidR="00E12794">
        <w:t xml:space="preserve">sequential </w:t>
      </w:r>
      <w:r w:rsidR="00CC2AC8">
        <w:t>SAs</w:t>
      </w:r>
      <w:r w:rsidR="005128D6">
        <w:t xml:space="preserve"> (Ferrari and Gini, 2010)</w:t>
      </w:r>
      <w:r w:rsidR="00CC2AC8">
        <w:t xml:space="preserve">, whereas SarPy </w:t>
      </w:r>
      <w:r w:rsidR="004D5774">
        <w:t xml:space="preserve">follows a purely quantitative approach to determine </w:t>
      </w:r>
      <w:r w:rsidR="002930AE">
        <w:t>whether</w:t>
      </w:r>
      <w:r w:rsidR="00810BC2">
        <w:t xml:space="preserve"> </w:t>
      </w:r>
      <w:r w:rsidR="004D5774">
        <w:t xml:space="preserve">test compounds </w:t>
      </w:r>
      <w:r w:rsidR="00810BC2">
        <w:t>are</w:t>
      </w:r>
      <w:r w:rsidR="004D5774">
        <w:t xml:space="preserve"> mutagenic or non</w:t>
      </w:r>
      <w:r w:rsidR="000C5029">
        <w:t>-</w:t>
      </w:r>
      <w:r w:rsidR="004D5774">
        <w:t>mutagenic</w:t>
      </w:r>
      <w:r w:rsidR="005128D6">
        <w:t xml:space="preserve"> (Ferrari et al., 2013)</w:t>
      </w:r>
      <w:r w:rsidR="004D5774">
        <w:t xml:space="preserve">. </w:t>
      </w:r>
      <w:r w:rsidR="00BF117C">
        <w:t xml:space="preserve">The third Ames mutagenicity prediction model, ISS, </w:t>
      </w:r>
      <w:r w:rsidR="00C37478">
        <w:t xml:space="preserve">contains </w:t>
      </w:r>
      <w:r w:rsidR="00BF117C">
        <w:t>a set of SAs extracted from Toxtree</w:t>
      </w:r>
      <w:r w:rsidR="00E12794">
        <w:t xml:space="preserve">, </w:t>
      </w:r>
      <w:r w:rsidR="00B622FD">
        <w:t xml:space="preserve">more </w:t>
      </w:r>
      <w:r w:rsidR="00B622FD" w:rsidRPr="00990312">
        <w:t xml:space="preserve">specifically the SAs related to mutagenicity </w:t>
      </w:r>
      <w:r w:rsidR="00067AB5" w:rsidRPr="00990312">
        <w:t>as implemented in</w:t>
      </w:r>
      <w:r w:rsidR="00B622FD" w:rsidRPr="00990312">
        <w:t xml:space="preserve"> the Benigni-Bossa rulebase for mutagenicity</w:t>
      </w:r>
      <w:r w:rsidR="0091131A" w:rsidRPr="00990312">
        <w:t xml:space="preserve"> and carcinogenicity</w:t>
      </w:r>
      <w:r w:rsidR="00BF117C" w:rsidRPr="00990312">
        <w:t>.</w:t>
      </w:r>
      <w:r w:rsidR="004D5774" w:rsidRPr="00990312">
        <w:t xml:space="preserve"> </w:t>
      </w:r>
      <w:r w:rsidR="002E6D25" w:rsidRPr="00990312">
        <w:t xml:space="preserve">In </w:t>
      </w:r>
      <w:r w:rsidR="004D0AC5" w:rsidRPr="00990312">
        <w:t xml:space="preserve">theory, </w:t>
      </w:r>
      <w:r w:rsidR="002E6D25" w:rsidRPr="00990312">
        <w:t xml:space="preserve">this </w:t>
      </w:r>
      <w:r w:rsidR="00EA7507" w:rsidRPr="00990312">
        <w:t xml:space="preserve">should </w:t>
      </w:r>
      <w:r w:rsidR="004D0AC5" w:rsidRPr="00990312">
        <w:t>result</w:t>
      </w:r>
      <w:r w:rsidR="002E6D25" w:rsidRPr="00990312">
        <w:t xml:space="preserve"> in the same model as the Toxtree model described above</w:t>
      </w:r>
      <w:r w:rsidR="00EA7507" w:rsidRPr="00990312">
        <w:t>.</w:t>
      </w:r>
      <w:r w:rsidR="004D0AC5" w:rsidRPr="00990312">
        <w:t xml:space="preserve"> </w:t>
      </w:r>
      <w:r w:rsidR="00EA7507" w:rsidRPr="00990312">
        <w:t>H</w:t>
      </w:r>
      <w:r w:rsidR="004D0AC5" w:rsidRPr="00990312">
        <w:t>owever</w:t>
      </w:r>
      <w:r w:rsidR="00EA7507" w:rsidRPr="00990312">
        <w:t>,</w:t>
      </w:r>
      <w:r w:rsidR="004D0AC5" w:rsidRPr="00990312">
        <w:t xml:space="preserve"> </w:t>
      </w:r>
      <w:r w:rsidR="00DE609E" w:rsidRPr="00990312">
        <w:t xml:space="preserve">in practice </w:t>
      </w:r>
      <w:r w:rsidR="004D0AC5" w:rsidRPr="00990312">
        <w:t xml:space="preserve">the outcome </w:t>
      </w:r>
      <w:r w:rsidR="00EA7507" w:rsidRPr="00990312">
        <w:t>sometimes differ</w:t>
      </w:r>
      <w:r w:rsidR="00DA76EF" w:rsidRPr="00990312">
        <w:t>s</w:t>
      </w:r>
      <w:r w:rsidR="004D0AC5" w:rsidRPr="00990312">
        <w:t xml:space="preserve"> in VEGA/ISS and Toxtree. </w:t>
      </w:r>
      <w:r w:rsidR="00EA7507" w:rsidRPr="00990312">
        <w:t>A possible explanation for these differences m</w:t>
      </w:r>
      <w:r w:rsidR="00456590" w:rsidRPr="00990312">
        <w:t>ay be found in</w:t>
      </w:r>
      <w:r w:rsidR="004D0AC5" w:rsidRPr="00990312">
        <w:t xml:space="preserve"> the rebuilding process </w:t>
      </w:r>
      <w:r w:rsidR="00EA7507" w:rsidRPr="00990312">
        <w:t>that was used to translate</w:t>
      </w:r>
      <w:r w:rsidR="004D0AC5" w:rsidRPr="00990312">
        <w:t xml:space="preserve"> </w:t>
      </w:r>
      <w:r w:rsidR="00EA7507" w:rsidRPr="00990312">
        <w:t xml:space="preserve">the </w:t>
      </w:r>
      <w:r w:rsidR="004D0AC5" w:rsidRPr="00990312">
        <w:t>Toxtree rulebase</w:t>
      </w:r>
      <w:r w:rsidR="00EA7507" w:rsidRPr="00990312">
        <w:t xml:space="preserve"> into VEGA/ISS</w:t>
      </w:r>
      <w:r w:rsidR="002E6D25" w:rsidRPr="00990312">
        <w:t>.</w:t>
      </w:r>
      <w:r w:rsidR="00CC2AC8">
        <w:t xml:space="preserve"> </w:t>
      </w:r>
    </w:p>
    <w:p w14:paraId="59C7618E" w14:textId="20598C7B" w:rsidR="00546CC2" w:rsidRDefault="00003E03" w:rsidP="006F15FC">
      <w:pPr>
        <w:spacing w:after="0" w:line="480" w:lineRule="auto"/>
        <w:jc w:val="both"/>
      </w:pPr>
      <w:r>
        <w:t>In the current study, the</w:t>
      </w:r>
      <w:r w:rsidR="007D2B4F">
        <w:t xml:space="preserve"> separate</w:t>
      </w:r>
      <w:r>
        <w:t xml:space="preserve"> results of the</w:t>
      </w:r>
      <w:r w:rsidR="007D2B4F">
        <w:t xml:space="preserve"> 3</w:t>
      </w:r>
      <w:r>
        <w:t xml:space="preserve"> </w:t>
      </w:r>
      <w:r w:rsidR="007D2B4F">
        <w:t>Ames</w:t>
      </w:r>
      <w:r w:rsidR="000F3423">
        <w:t xml:space="preserve"> </w:t>
      </w:r>
      <w:r w:rsidR="00CE5D7D">
        <w:t xml:space="preserve">mutagenicity </w:t>
      </w:r>
      <w:r w:rsidR="000F3423">
        <w:t xml:space="preserve">models </w:t>
      </w:r>
      <w:r w:rsidR="004C5E61">
        <w:t>we</w:t>
      </w:r>
      <w:r w:rsidR="001A3C98">
        <w:t>re combined into 1</w:t>
      </w:r>
      <w:r>
        <w:t xml:space="preserve"> final </w:t>
      </w:r>
      <w:r w:rsidR="007D2B4F">
        <w:t>‘</w:t>
      </w:r>
      <w:r>
        <w:t>VEGA consensus</w:t>
      </w:r>
      <w:r w:rsidR="007D2B4F">
        <w:t>’</w:t>
      </w:r>
      <w:r>
        <w:t xml:space="preserve"> </w:t>
      </w:r>
      <w:r w:rsidR="007D2B4F">
        <w:t>result</w:t>
      </w:r>
      <w:r w:rsidR="00E96350">
        <w:t>, since this approach increase</w:t>
      </w:r>
      <w:r w:rsidR="00325EE8">
        <w:t>s the</w:t>
      </w:r>
      <w:r w:rsidR="00E96350">
        <w:t xml:space="preserve"> prediction performance </w:t>
      </w:r>
      <w:r w:rsidR="00FD34F1">
        <w:t>compared to</w:t>
      </w:r>
      <w:r w:rsidR="000F3423">
        <w:t xml:space="preserve"> </w:t>
      </w:r>
      <w:r w:rsidR="004C5E61">
        <w:lastRenderedPageBreak/>
        <w:t>the use of</w:t>
      </w:r>
      <w:r w:rsidR="00DD1353">
        <w:t xml:space="preserve"> </w:t>
      </w:r>
      <w:r w:rsidR="000F3423">
        <w:t xml:space="preserve">the individual models </w:t>
      </w:r>
      <w:r w:rsidR="004D5774">
        <w:t>(Cassano et al., 2014)</w:t>
      </w:r>
      <w:r w:rsidR="00E96350">
        <w:t>.</w:t>
      </w:r>
      <w:r w:rsidR="000F3423">
        <w:t xml:space="preserve"> </w:t>
      </w:r>
      <w:r w:rsidR="007F103C">
        <w:t>The output of the</w:t>
      </w:r>
      <w:r w:rsidR="000F3423">
        <w:t xml:space="preserve"> single models is integrated through the</w:t>
      </w:r>
      <w:r w:rsidR="007F103C">
        <w:t>ir</w:t>
      </w:r>
      <w:r w:rsidR="000F3423">
        <w:t xml:space="preserve"> </w:t>
      </w:r>
      <w:r w:rsidR="00DD7573">
        <w:t>corresponding</w:t>
      </w:r>
      <w:r w:rsidR="00F75F4E">
        <w:t xml:space="preserve"> applicability domain index</w:t>
      </w:r>
      <w:r w:rsidR="00DD7573">
        <w:t xml:space="preserve"> </w:t>
      </w:r>
      <w:r w:rsidR="00F75F4E">
        <w:t>(</w:t>
      </w:r>
      <w:r w:rsidR="000F3423">
        <w:t>ADI</w:t>
      </w:r>
      <w:r w:rsidR="00F75F4E">
        <w:t>)</w:t>
      </w:r>
      <w:r w:rsidR="00CD3724">
        <w:t xml:space="preserve"> by means of the following equation: </w:t>
      </w:r>
    </w:p>
    <w:p w14:paraId="50F66DEF" w14:textId="77777777" w:rsidR="007F103C" w:rsidRDefault="007F103C" w:rsidP="008F7FC8">
      <w:pPr>
        <w:pStyle w:val="ListParagraph"/>
        <w:spacing w:after="0" w:line="240" w:lineRule="auto"/>
        <w:ind w:firstLine="720"/>
        <w:jc w:val="both"/>
      </w:pPr>
      <w:r>
        <w:t xml:space="preserve">CONSENSUS = </w:t>
      </w:r>
      <w:r w:rsidR="00F75F4E">
        <w:rPr>
          <w:u w:val="single"/>
        </w:rPr>
        <w:t>(±1)</w:t>
      </w:r>
      <w:r w:rsidRPr="00950E90">
        <w:rPr>
          <w:rFonts w:ascii="Cambria Math" w:hAnsi="Cambria Math" w:cs="Cambria Math"/>
          <w:u w:val="single"/>
        </w:rPr>
        <w:t>∗</w:t>
      </w:r>
      <w:r w:rsidRPr="00950E90">
        <w:rPr>
          <w:u w:val="single"/>
        </w:rPr>
        <w:t>AD</w:t>
      </w:r>
      <w:r w:rsidR="00BF3215">
        <w:rPr>
          <w:u w:val="single"/>
        </w:rPr>
        <w:t>I</w:t>
      </w:r>
      <w:r w:rsidRPr="00950E90">
        <w:rPr>
          <w:u w:val="single"/>
          <w:vertAlign w:val="subscript"/>
        </w:rPr>
        <w:t xml:space="preserve">CAESAR </w:t>
      </w:r>
      <w:r w:rsidRPr="00950E90">
        <w:rPr>
          <w:u w:val="single"/>
        </w:rPr>
        <w:t>+ (</w:t>
      </w:r>
      <w:r w:rsidRPr="00950E90">
        <w:rPr>
          <w:rFonts w:ascii="Calibri" w:hAnsi="Calibri" w:cs="Calibri"/>
          <w:u w:val="single"/>
        </w:rPr>
        <w:t>±</w:t>
      </w:r>
      <w:r w:rsidRPr="00950E90">
        <w:rPr>
          <w:u w:val="single"/>
        </w:rPr>
        <w:t>1)</w:t>
      </w:r>
      <w:r w:rsidRPr="00950E90">
        <w:rPr>
          <w:rFonts w:ascii="Cambria Math" w:hAnsi="Cambria Math" w:cs="Cambria Math"/>
          <w:u w:val="single"/>
        </w:rPr>
        <w:t>∗</w:t>
      </w:r>
      <w:r w:rsidRPr="00950E90">
        <w:rPr>
          <w:u w:val="single"/>
        </w:rPr>
        <w:t>AD</w:t>
      </w:r>
      <w:r w:rsidR="00BF3215">
        <w:rPr>
          <w:u w:val="single"/>
        </w:rPr>
        <w:t>I</w:t>
      </w:r>
      <w:r w:rsidR="00950E90">
        <w:rPr>
          <w:u w:val="single"/>
          <w:vertAlign w:val="subscript"/>
        </w:rPr>
        <w:t>Sar</w:t>
      </w:r>
      <w:r w:rsidRPr="00950E90">
        <w:rPr>
          <w:u w:val="single"/>
          <w:vertAlign w:val="subscript"/>
        </w:rPr>
        <w:t>P</w:t>
      </w:r>
      <w:r w:rsidR="00950E90">
        <w:rPr>
          <w:u w:val="single"/>
          <w:vertAlign w:val="subscript"/>
        </w:rPr>
        <w:t>y</w:t>
      </w:r>
      <w:r w:rsidRPr="00950E90">
        <w:rPr>
          <w:u w:val="single"/>
        </w:rPr>
        <w:t xml:space="preserve"> + (</w:t>
      </w:r>
      <w:r w:rsidRPr="00950E90">
        <w:rPr>
          <w:rFonts w:ascii="Calibri" w:hAnsi="Calibri" w:cs="Calibri"/>
          <w:u w:val="single"/>
        </w:rPr>
        <w:t>±</w:t>
      </w:r>
      <w:r w:rsidRPr="00950E90">
        <w:rPr>
          <w:u w:val="single"/>
        </w:rPr>
        <w:t>1)</w:t>
      </w:r>
      <w:r w:rsidRPr="00950E90">
        <w:rPr>
          <w:rFonts w:ascii="Cambria Math" w:hAnsi="Cambria Math" w:cs="Cambria Math"/>
          <w:u w:val="single"/>
        </w:rPr>
        <w:t>∗</w:t>
      </w:r>
      <w:r w:rsidRPr="00950E90">
        <w:rPr>
          <w:u w:val="single"/>
        </w:rPr>
        <w:t>AD</w:t>
      </w:r>
      <w:r w:rsidR="00BF3215">
        <w:rPr>
          <w:u w:val="single"/>
        </w:rPr>
        <w:t>I</w:t>
      </w:r>
      <w:r w:rsidR="00950E90">
        <w:rPr>
          <w:u w:val="single"/>
          <w:vertAlign w:val="subscript"/>
        </w:rPr>
        <w:t>ISS</w:t>
      </w:r>
    </w:p>
    <w:p w14:paraId="18E45280" w14:textId="77777777" w:rsidR="00546CC2" w:rsidRDefault="007F103C" w:rsidP="008F7FC8">
      <w:pPr>
        <w:pStyle w:val="ListParagraph"/>
        <w:spacing w:after="0" w:line="480" w:lineRule="auto"/>
        <w:ind w:left="2880" w:firstLine="720"/>
        <w:jc w:val="both"/>
      </w:pPr>
      <w:r>
        <w:t>AD</w:t>
      </w:r>
      <w:r w:rsidR="00BF3215">
        <w:t>I</w:t>
      </w:r>
      <w:r w:rsidRPr="00950E90">
        <w:rPr>
          <w:vertAlign w:val="subscript"/>
        </w:rPr>
        <w:t>CAESAR</w:t>
      </w:r>
      <w:r>
        <w:t xml:space="preserve"> + AD</w:t>
      </w:r>
      <w:r w:rsidR="00BF3215">
        <w:t>I</w:t>
      </w:r>
      <w:r w:rsidR="00950E90">
        <w:rPr>
          <w:vertAlign w:val="subscript"/>
        </w:rPr>
        <w:t>SarPy</w:t>
      </w:r>
      <w:r>
        <w:t xml:space="preserve"> + AD</w:t>
      </w:r>
      <w:r w:rsidR="00BF3215">
        <w:t>I</w:t>
      </w:r>
      <w:r w:rsidR="00950E90">
        <w:rPr>
          <w:vertAlign w:val="subscript"/>
        </w:rPr>
        <w:t>ISS</w:t>
      </w:r>
    </w:p>
    <w:p w14:paraId="0A3DC8D4" w14:textId="77777777" w:rsidR="00F75F4E" w:rsidRDefault="00F75F4E" w:rsidP="00F75F4E">
      <w:pPr>
        <w:spacing w:after="0" w:line="480" w:lineRule="auto"/>
        <w:jc w:val="both"/>
      </w:pPr>
      <w:r>
        <w:t xml:space="preserve">Each ADI in the numerator is multiplied by +1 for a positive prediction and by -1 for a negative prediction. </w:t>
      </w:r>
      <w:r w:rsidR="0074078C">
        <w:t xml:space="preserve">In case the final outcome is negative, only </w:t>
      </w:r>
      <w:r w:rsidR="00494B88">
        <w:t xml:space="preserve">prediction </w:t>
      </w:r>
      <w:r w:rsidR="0074078C">
        <w:t xml:space="preserve">results with an ADI of at least 0.75 in </w:t>
      </w:r>
      <w:r w:rsidR="001A3C98">
        <w:t>all 3</w:t>
      </w:r>
      <w:r w:rsidR="00C37478">
        <w:t xml:space="preserve"> models </w:t>
      </w:r>
      <w:r w:rsidR="00D77B44">
        <w:t>were</w:t>
      </w:r>
      <w:r w:rsidR="0074078C">
        <w:t xml:space="preserve"> </w:t>
      </w:r>
      <w:r w:rsidR="00CA7875">
        <w:t>considered</w:t>
      </w:r>
      <w:r w:rsidR="00C37478">
        <w:t xml:space="preserve"> negative. A similar approach has been </w:t>
      </w:r>
      <w:r w:rsidR="0074078C">
        <w:t>proposed by Cassano and colleagues</w:t>
      </w:r>
      <w:r w:rsidR="002732C5">
        <w:t xml:space="preserve"> (2014)</w:t>
      </w:r>
      <w:r w:rsidR="0074078C">
        <w:t xml:space="preserve">. </w:t>
      </w:r>
    </w:p>
    <w:p w14:paraId="7F4E15B3" w14:textId="77777777" w:rsidR="00645008" w:rsidRPr="00546CC2" w:rsidRDefault="00645008" w:rsidP="00F75F4E">
      <w:pPr>
        <w:spacing w:after="0" w:line="480" w:lineRule="auto"/>
        <w:jc w:val="both"/>
      </w:pPr>
    </w:p>
    <w:p w14:paraId="71A36611" w14:textId="77777777" w:rsidR="00D601EA" w:rsidRPr="00C171C3" w:rsidRDefault="008F1AA9" w:rsidP="00F04D3A">
      <w:pPr>
        <w:pStyle w:val="ListParagraph"/>
        <w:keepNext/>
        <w:widowControl w:val="0"/>
        <w:numPr>
          <w:ilvl w:val="0"/>
          <w:numId w:val="1"/>
        </w:numPr>
        <w:spacing w:after="0" w:line="480" w:lineRule="auto"/>
        <w:ind w:left="714" w:hanging="357"/>
        <w:jc w:val="both"/>
        <w:rPr>
          <w:i/>
          <w:sz w:val="24"/>
        </w:rPr>
      </w:pPr>
      <w:r w:rsidRPr="00C171C3">
        <w:rPr>
          <w:i/>
          <w:sz w:val="24"/>
        </w:rPr>
        <w:t xml:space="preserve">Derek </w:t>
      </w:r>
      <w:r w:rsidR="00B37117">
        <w:rPr>
          <w:i/>
          <w:sz w:val="24"/>
        </w:rPr>
        <w:t>Nexus™</w:t>
      </w:r>
    </w:p>
    <w:p w14:paraId="248F85B3" w14:textId="19394432" w:rsidR="005B3F4D" w:rsidRDefault="00DD1353" w:rsidP="00F04D3A">
      <w:pPr>
        <w:keepLines/>
        <w:spacing w:after="0" w:line="480" w:lineRule="auto"/>
        <w:jc w:val="both"/>
      </w:pPr>
      <w:r>
        <w:t xml:space="preserve">Derek is </w:t>
      </w:r>
      <w:r w:rsidR="002930AE">
        <w:t>commercially available as</w:t>
      </w:r>
      <w:r w:rsidR="00CC769C">
        <w:t xml:space="preserve"> part of the </w:t>
      </w:r>
      <w:r w:rsidR="00B37117">
        <w:t>Lhasa</w:t>
      </w:r>
      <w:r w:rsidR="00CC769C">
        <w:t xml:space="preserve"> Knowledge Suite®</w:t>
      </w:r>
      <w:r w:rsidR="00F45A6F">
        <w:t xml:space="preserve"> (Lhasa Limited, 2016a)</w:t>
      </w:r>
      <w:r w:rsidR="002930AE">
        <w:t xml:space="preserve"> and is a </w:t>
      </w:r>
      <w:r w:rsidR="00EE6E78">
        <w:t>SA</w:t>
      </w:r>
      <w:r w:rsidR="00CC6089">
        <w:t xml:space="preserve">R tool </w:t>
      </w:r>
      <w:r w:rsidR="002930AE">
        <w:t xml:space="preserve">that </w:t>
      </w:r>
      <w:r w:rsidR="00CC6089">
        <w:t>runs predictions</w:t>
      </w:r>
      <w:r w:rsidR="00EE6E78">
        <w:t xml:space="preserve"> for</w:t>
      </w:r>
      <w:r w:rsidR="00CC6089">
        <w:t>,</w:t>
      </w:r>
      <w:r w:rsidR="00CC6089" w:rsidRPr="00CC6089">
        <w:t xml:space="preserve"> </w:t>
      </w:r>
      <w:r w:rsidR="00CC6089">
        <w:t>among others,</w:t>
      </w:r>
      <w:r w:rsidR="00EE6E78">
        <w:t xml:space="preserve"> </w:t>
      </w:r>
      <w:r w:rsidR="00EE6E78" w:rsidRPr="00EE6E78">
        <w:rPr>
          <w:i/>
        </w:rPr>
        <w:t>in vitro</w:t>
      </w:r>
      <w:r w:rsidR="00EE6E78">
        <w:t xml:space="preserve"> mutagenicity through expert-based rules. The latter were developed from </w:t>
      </w:r>
      <w:r w:rsidR="002717A8">
        <w:t>a variety of open literature and confidential data. For thi</w:t>
      </w:r>
      <w:r w:rsidR="002013FC">
        <w:t>s reason and because it is a rule-based</w:t>
      </w:r>
      <w:r w:rsidR="002717A8">
        <w:t xml:space="preserve"> system, no</w:t>
      </w:r>
      <w:r w:rsidR="000B48EA">
        <w:t xml:space="preserve"> defined</w:t>
      </w:r>
      <w:r w:rsidR="002717A8">
        <w:t xml:space="preserve"> training set </w:t>
      </w:r>
      <w:r w:rsidR="00204C2C">
        <w:t>nor</w:t>
      </w:r>
      <w:r w:rsidR="002717A8">
        <w:t xml:space="preserve"> applicability domain are available. However, </w:t>
      </w:r>
      <w:r w:rsidR="006543F3">
        <w:t>a</w:t>
      </w:r>
      <w:r w:rsidR="002717A8">
        <w:t xml:space="preserve"> recently implemented </w:t>
      </w:r>
      <w:r w:rsidR="00FA6780">
        <w:t xml:space="preserve">structure classification </w:t>
      </w:r>
      <w:r w:rsidR="002717A8">
        <w:t xml:space="preserve">feature allows to </w:t>
      </w:r>
      <w:r w:rsidR="00960A42">
        <w:t xml:space="preserve">substantiate </w:t>
      </w:r>
      <w:r w:rsidR="002717A8">
        <w:t>negative prediction</w:t>
      </w:r>
      <w:r w:rsidR="00960A42">
        <w:t>s</w:t>
      </w:r>
      <w:r w:rsidR="002662CB">
        <w:t xml:space="preserve"> (Williams et al., 2016)</w:t>
      </w:r>
      <w:r w:rsidR="002717A8">
        <w:t>. In case no alert</w:t>
      </w:r>
      <w:r w:rsidR="00FA6780">
        <w:t xml:space="preserve"> for Ames mutagenicity</w:t>
      </w:r>
      <w:r w:rsidR="002717A8">
        <w:t xml:space="preserve"> is found, the software labels the </w:t>
      </w:r>
      <w:r w:rsidR="00F62075">
        <w:t>test compound</w:t>
      </w:r>
      <w:r w:rsidR="002717A8">
        <w:t xml:space="preserve"> as ‘inactive’</w:t>
      </w:r>
      <w:r w:rsidR="007A5A4C">
        <w:t xml:space="preserve"> (i.e. negative)</w:t>
      </w:r>
      <w:r w:rsidR="002717A8">
        <w:t xml:space="preserve">. Additionally, </w:t>
      </w:r>
      <w:r w:rsidR="00F62075">
        <w:t xml:space="preserve">the </w:t>
      </w:r>
      <w:r w:rsidR="001A3C98">
        <w:t>compound</w:t>
      </w:r>
      <w:r w:rsidR="00F62075">
        <w:t xml:space="preserve"> structure is screened for </w:t>
      </w:r>
      <w:r w:rsidR="00371D80">
        <w:t>‘</w:t>
      </w:r>
      <w:r w:rsidR="00F62075">
        <w:t>misclassified</w:t>
      </w:r>
      <w:r w:rsidR="00371D80">
        <w:t>’</w:t>
      </w:r>
      <w:r w:rsidR="00F62075">
        <w:t xml:space="preserve"> and </w:t>
      </w:r>
      <w:r w:rsidR="00371D80">
        <w:t>‘</w:t>
      </w:r>
      <w:r w:rsidR="00F62075">
        <w:t>unclassified</w:t>
      </w:r>
      <w:r w:rsidR="00371D80">
        <w:t>’</w:t>
      </w:r>
      <w:r w:rsidR="00F62075">
        <w:t xml:space="preserve"> features. </w:t>
      </w:r>
      <w:r w:rsidR="00FA6780">
        <w:t>If it contains a</w:t>
      </w:r>
      <w:r w:rsidR="000B48EA">
        <w:t xml:space="preserve"> chemical fragment </w:t>
      </w:r>
      <w:r w:rsidR="0049047D">
        <w:t>that</w:t>
      </w:r>
      <w:r w:rsidR="000B48EA">
        <w:t xml:space="preserve"> is not retrieved in the set of compounds </w:t>
      </w:r>
      <w:r w:rsidR="0049047D">
        <w:t>on which the expert rules are based</w:t>
      </w:r>
      <w:r w:rsidR="000B48EA">
        <w:t xml:space="preserve">, the graphic display will </w:t>
      </w:r>
      <w:r w:rsidR="00371D80">
        <w:t>highlight</w:t>
      </w:r>
      <w:r w:rsidR="000B48EA">
        <w:t xml:space="preserve"> this</w:t>
      </w:r>
      <w:r w:rsidR="00371D80">
        <w:t xml:space="preserve"> part of the molecule</w:t>
      </w:r>
      <w:r w:rsidR="000B48EA">
        <w:t xml:space="preserve"> and </w:t>
      </w:r>
      <w:r w:rsidR="00371D80">
        <w:t>indicate</w:t>
      </w:r>
      <w:r w:rsidR="000B48EA">
        <w:t xml:space="preserve"> that the structure contains unclassified features.</w:t>
      </w:r>
      <w:r w:rsidR="003B1BB7">
        <w:t xml:space="preserve"> </w:t>
      </w:r>
      <w:r w:rsidR="000B48EA">
        <w:t>Misclassified features, on the other hand, refer to chemical substructures</w:t>
      </w:r>
      <w:r w:rsidR="003B1BB7">
        <w:t xml:space="preserve"> that are not SAs, but have been found in </w:t>
      </w:r>
      <w:r w:rsidR="00EB1643">
        <w:t>experimentally positive</w:t>
      </w:r>
      <w:r w:rsidR="00E929C3">
        <w:t xml:space="preserve"> reference</w:t>
      </w:r>
      <w:r w:rsidR="00EB1643">
        <w:t xml:space="preserve"> </w:t>
      </w:r>
      <w:r w:rsidR="00EB1643" w:rsidRPr="00990312">
        <w:t>compounds</w:t>
      </w:r>
      <w:r w:rsidR="006F64AC" w:rsidRPr="00990312">
        <w:t xml:space="preserve"> that lack a </w:t>
      </w:r>
      <w:r w:rsidR="00EA7507" w:rsidRPr="00990312">
        <w:t xml:space="preserve">SA </w:t>
      </w:r>
      <w:r w:rsidR="006F64AC" w:rsidRPr="00990312">
        <w:t>in Derek</w:t>
      </w:r>
      <w:r w:rsidR="000B48EA" w:rsidRPr="00990312">
        <w:t xml:space="preserve">. </w:t>
      </w:r>
      <w:r w:rsidR="001F2FCA" w:rsidRPr="00990312">
        <w:t>Since</w:t>
      </w:r>
      <w:r w:rsidR="00885C85" w:rsidRPr="00F53689">
        <w:t xml:space="preserve"> </w:t>
      </w:r>
      <w:r w:rsidR="007D5957" w:rsidRPr="00F53689">
        <w:t>negative predictivity</w:t>
      </w:r>
      <w:r w:rsidR="001F2FCA" w:rsidRPr="00F53689">
        <w:t xml:space="preserve"> generally</w:t>
      </w:r>
      <w:r w:rsidR="007D5957" w:rsidRPr="00F53689">
        <w:t xml:space="preserve"> remains high</w:t>
      </w:r>
      <w:r w:rsidR="001F2FCA" w:rsidRPr="00F53689">
        <w:t xml:space="preserve"> for both (median=84%)</w:t>
      </w:r>
      <w:r w:rsidR="007D5957" w:rsidRPr="00F53689">
        <w:t xml:space="preserve">, </w:t>
      </w:r>
      <w:r w:rsidR="001F2FCA" w:rsidRPr="00F53689">
        <w:t xml:space="preserve">misclassified and unclassified features </w:t>
      </w:r>
      <w:r w:rsidR="00204C2C">
        <w:t xml:space="preserve">are regarded </w:t>
      </w:r>
      <w:r w:rsidR="001F2FCA" w:rsidRPr="00F53689">
        <w:t xml:space="preserve">as negative predictions that are flagged for expert review. </w:t>
      </w:r>
      <w:r w:rsidR="004C5E61">
        <w:t>However, f</w:t>
      </w:r>
      <w:r w:rsidR="00F53689">
        <w:t>or</w:t>
      </w:r>
      <w:r w:rsidR="001F2FCA" w:rsidRPr="00F53689">
        <w:t xml:space="preserve"> the current prioritization strategy that does not inclu</w:t>
      </w:r>
      <w:r w:rsidR="004C5E61">
        <w:t>de elaborate expert reviewing</w:t>
      </w:r>
      <w:r w:rsidR="001F2FCA" w:rsidRPr="00F53689">
        <w:t>,</w:t>
      </w:r>
      <w:r w:rsidR="00F53689">
        <w:t xml:space="preserve"> </w:t>
      </w:r>
      <w:r w:rsidR="00204C2C">
        <w:t xml:space="preserve">we followed </w:t>
      </w:r>
      <w:r w:rsidR="00F53689">
        <w:t>a precautionary approach</w:t>
      </w:r>
      <w:r w:rsidR="008775B3">
        <w:t>.</w:t>
      </w:r>
      <w:r w:rsidR="00F53689">
        <w:t xml:space="preserve"> </w:t>
      </w:r>
      <w:r w:rsidR="008775B3">
        <w:t>H</w:t>
      </w:r>
      <w:r w:rsidR="00F53689">
        <w:t xml:space="preserve">ence </w:t>
      </w:r>
      <w:r w:rsidR="006A1F0C" w:rsidRPr="00F53689">
        <w:t>o</w:t>
      </w:r>
      <w:r w:rsidR="009E0A96" w:rsidRPr="00F53689">
        <w:t>nly</w:t>
      </w:r>
      <w:r w:rsidR="00391F08">
        <w:t xml:space="preserve"> negative</w:t>
      </w:r>
      <w:r w:rsidR="009E0A96" w:rsidRPr="00F53689">
        <w:t xml:space="preserve"> predictions without warning</w:t>
      </w:r>
      <w:r w:rsidR="006A1F0C" w:rsidRPr="00F53689">
        <w:t>s</w:t>
      </w:r>
      <w:r w:rsidR="009E0A96" w:rsidRPr="00F53689">
        <w:t xml:space="preserve"> </w:t>
      </w:r>
      <w:r w:rsidR="006A1F0C" w:rsidRPr="00F53689">
        <w:t>were considered negative.</w:t>
      </w:r>
    </w:p>
    <w:p w14:paraId="3108F0AE" w14:textId="77777777" w:rsidR="005B3F4D" w:rsidRPr="005B3F4D" w:rsidRDefault="005B3F4D" w:rsidP="005B3F4D">
      <w:pPr>
        <w:spacing w:after="0" w:line="480" w:lineRule="auto"/>
        <w:jc w:val="both"/>
      </w:pPr>
    </w:p>
    <w:p w14:paraId="3F061615" w14:textId="77777777" w:rsidR="00D601EA" w:rsidRPr="00C171C3" w:rsidRDefault="008F1AA9" w:rsidP="00F94AD3">
      <w:pPr>
        <w:pStyle w:val="ListParagraph"/>
        <w:keepNext/>
        <w:keepLines/>
        <w:widowControl w:val="0"/>
        <w:numPr>
          <w:ilvl w:val="0"/>
          <w:numId w:val="1"/>
        </w:numPr>
        <w:spacing w:after="0" w:line="480" w:lineRule="auto"/>
        <w:ind w:left="714" w:hanging="357"/>
        <w:jc w:val="both"/>
        <w:rPr>
          <w:i/>
          <w:sz w:val="24"/>
        </w:rPr>
      </w:pPr>
      <w:r w:rsidRPr="00C171C3">
        <w:rPr>
          <w:i/>
          <w:sz w:val="24"/>
        </w:rPr>
        <w:t xml:space="preserve">Sarah </w:t>
      </w:r>
      <w:r w:rsidR="00265C46">
        <w:rPr>
          <w:i/>
          <w:sz w:val="24"/>
        </w:rPr>
        <w:t>Nexus™</w:t>
      </w:r>
    </w:p>
    <w:p w14:paraId="6789F96B" w14:textId="25E7900A" w:rsidR="00001806" w:rsidRDefault="00BB2E1B" w:rsidP="00F94AD3">
      <w:pPr>
        <w:keepNext/>
        <w:keepLines/>
        <w:widowControl w:val="0"/>
        <w:spacing w:after="0" w:line="480" w:lineRule="auto"/>
        <w:jc w:val="both"/>
      </w:pPr>
      <w:r>
        <w:t>The</w:t>
      </w:r>
      <w:r w:rsidR="00AE6D3B">
        <w:t xml:space="preserve"> </w:t>
      </w:r>
      <w:r w:rsidR="00265C46">
        <w:t>Lhasa</w:t>
      </w:r>
      <w:r w:rsidR="00AE6D3B">
        <w:t xml:space="preserve"> Knowledge Suite® also contains a QSAR</w:t>
      </w:r>
      <w:r w:rsidR="00C03CAC">
        <w:t>-based</w:t>
      </w:r>
      <w:r w:rsidR="00AE6D3B">
        <w:t xml:space="preserve"> Ames mutagenicity model</w:t>
      </w:r>
      <w:r w:rsidR="00DB7C70">
        <w:t xml:space="preserve"> </w:t>
      </w:r>
      <w:r w:rsidR="00325EE8">
        <w:t>named</w:t>
      </w:r>
      <w:r w:rsidR="00DB7C70">
        <w:t xml:space="preserve"> Sarah</w:t>
      </w:r>
      <w:r w:rsidR="00F45A6F">
        <w:t xml:space="preserve"> (Lhasa Limited, 2016b)</w:t>
      </w:r>
      <w:r w:rsidR="00AE6D3B">
        <w:t xml:space="preserve">. </w:t>
      </w:r>
      <w:r w:rsidR="00265C46">
        <w:t>In</w:t>
      </w:r>
      <w:r w:rsidR="003362E3">
        <w:t xml:space="preserve"> t</w:t>
      </w:r>
      <w:r w:rsidR="0098136E">
        <w:t>his statistical tool</w:t>
      </w:r>
      <w:r w:rsidR="003362E3">
        <w:t>,</w:t>
      </w:r>
      <w:r w:rsidR="00DB7C70">
        <w:t xml:space="preserve"> the query compound</w:t>
      </w:r>
      <w:r w:rsidR="003362E3">
        <w:t xml:space="preserve"> </w:t>
      </w:r>
      <w:r w:rsidR="00955D7B">
        <w:t>is</w:t>
      </w:r>
      <w:r w:rsidR="003362E3">
        <w:t xml:space="preserve"> fragmented,</w:t>
      </w:r>
      <w:r w:rsidR="00DB7C70">
        <w:t xml:space="preserve"> </w:t>
      </w:r>
      <w:r w:rsidR="0098136E">
        <w:t>after which the</w:t>
      </w:r>
      <w:r w:rsidR="003362E3">
        <w:t xml:space="preserve"> fragments</w:t>
      </w:r>
      <w:r w:rsidR="0098136E">
        <w:t xml:space="preserve"> are reviewed for activity </w:t>
      </w:r>
      <w:r w:rsidR="0098136E" w:rsidRPr="004C5E61">
        <w:rPr>
          <w:i/>
        </w:rPr>
        <w:t>versus</w:t>
      </w:r>
      <w:r w:rsidR="0098136E">
        <w:t xml:space="preserve"> inactivity. A network of hypotheses is </w:t>
      </w:r>
      <w:r w:rsidR="00955D7B">
        <w:t xml:space="preserve">then </w:t>
      </w:r>
      <w:r w:rsidR="0098136E">
        <w:t>created by arranging meaningful fragments, followed by the application of relevant hypotheses</w:t>
      </w:r>
      <w:r w:rsidR="00D055E3">
        <w:t xml:space="preserve"> to inform an</w:t>
      </w:r>
      <w:r w:rsidR="0098136E">
        <w:t xml:space="preserve"> overall </w:t>
      </w:r>
      <w:r w:rsidR="0061337F">
        <w:t>mutagenicity</w:t>
      </w:r>
      <w:r w:rsidR="0098136E">
        <w:t xml:space="preserve"> prediction</w:t>
      </w:r>
      <w:r w:rsidR="00D055E3">
        <w:t>.</w:t>
      </w:r>
      <w:r w:rsidR="0098136E">
        <w:t xml:space="preserve"> </w:t>
      </w:r>
      <w:r w:rsidR="00D055E3">
        <w:t xml:space="preserve">A confidence </w:t>
      </w:r>
      <w:r w:rsidR="0022203A">
        <w:t>score</w:t>
      </w:r>
      <w:r w:rsidR="00D055E3">
        <w:t xml:space="preserve"> and applicability domain </w:t>
      </w:r>
      <w:r w:rsidR="009C2EAD">
        <w:t>check</w:t>
      </w:r>
      <w:r w:rsidR="00D055E3">
        <w:t xml:space="preserve"> complete the final conclusion.</w:t>
      </w:r>
    </w:p>
    <w:p w14:paraId="5966D3F1" w14:textId="77777777" w:rsidR="00352C90" w:rsidRPr="00C171C3" w:rsidRDefault="00352C90" w:rsidP="00B65EAD">
      <w:pPr>
        <w:spacing w:after="0" w:line="480" w:lineRule="auto"/>
        <w:jc w:val="both"/>
      </w:pPr>
    </w:p>
    <w:p w14:paraId="32FBD1FF" w14:textId="77777777" w:rsidR="000D29A4" w:rsidRPr="00CF00F2" w:rsidRDefault="000D29A4" w:rsidP="000D29A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i/>
          <w:sz w:val="24"/>
        </w:rPr>
      </w:pPr>
      <w:r w:rsidRPr="00CF00F2">
        <w:rPr>
          <w:i/>
          <w:sz w:val="24"/>
        </w:rPr>
        <w:t>CORAL</w:t>
      </w:r>
    </w:p>
    <w:p w14:paraId="01B40400" w14:textId="0A78039F" w:rsidR="000D29A4" w:rsidRDefault="004B2F0F" w:rsidP="004B2F0F">
      <w:pPr>
        <w:spacing w:line="480" w:lineRule="auto"/>
        <w:jc w:val="both"/>
      </w:pPr>
      <w:r w:rsidRPr="004B2F0F">
        <w:t xml:space="preserve">CORAL </w:t>
      </w:r>
      <w:r w:rsidR="000316A2">
        <w:t>(www.insilico.eu/coral)</w:t>
      </w:r>
      <w:r w:rsidR="000316A2" w:rsidRPr="000316A2">
        <w:t xml:space="preserve"> </w:t>
      </w:r>
      <w:r w:rsidRPr="004B2F0F">
        <w:t xml:space="preserve">is a </w:t>
      </w:r>
      <w:r w:rsidR="008C5F17">
        <w:t>freely available</w:t>
      </w:r>
      <w:r w:rsidR="008C5F17" w:rsidRPr="004B2F0F">
        <w:t xml:space="preserve"> </w:t>
      </w:r>
      <w:r w:rsidRPr="004B2F0F">
        <w:t>standalone application software for</w:t>
      </w:r>
      <w:r>
        <w:t xml:space="preserve"> </w:t>
      </w:r>
      <w:r w:rsidRPr="004B2F0F">
        <w:t xml:space="preserve">building regression or classification QSAR </w:t>
      </w:r>
      <w:r w:rsidR="008C5F17">
        <w:t xml:space="preserve">models </w:t>
      </w:r>
      <w:r w:rsidRPr="004B2F0F">
        <w:t xml:space="preserve">based on the Monte Carlo </w:t>
      </w:r>
      <w:r w:rsidR="008C5F17">
        <w:t>optimization method</w:t>
      </w:r>
      <w:r w:rsidRPr="004B2F0F">
        <w:t>.</w:t>
      </w:r>
      <w:r>
        <w:t xml:space="preserve"> </w:t>
      </w:r>
      <w:r w:rsidR="008C5F17">
        <w:t>It</w:t>
      </w:r>
      <w:r w:rsidR="00503D7B" w:rsidRPr="00503D7B">
        <w:t xml:space="preserve"> was developed as part of the </w:t>
      </w:r>
      <w:r w:rsidR="000316A2">
        <w:t xml:space="preserve">EU-funded </w:t>
      </w:r>
      <w:r w:rsidR="00503D7B" w:rsidRPr="00503D7B">
        <w:t>CHEMPREDICT project</w:t>
      </w:r>
      <w:r w:rsidR="000316A2">
        <w:t xml:space="preserve"> (IRFMN, 2016</w:t>
      </w:r>
      <w:r w:rsidR="00F03BCD">
        <w:t>b</w:t>
      </w:r>
      <w:r w:rsidR="000316A2">
        <w:t>)</w:t>
      </w:r>
      <w:r w:rsidR="00503D7B" w:rsidRPr="006A2FB5">
        <w:t xml:space="preserve">. </w:t>
      </w:r>
      <w:r>
        <w:t xml:space="preserve">A complete description of the Ames mutagenicity model for aromatic azo compounds, built using </w:t>
      </w:r>
      <w:r w:rsidR="008C5F17">
        <w:t xml:space="preserve">the </w:t>
      </w:r>
      <w:r>
        <w:t xml:space="preserve">CORAL software, is provided by Manganelli et al. (2016). </w:t>
      </w:r>
      <w:r w:rsidR="0062537A">
        <w:t>In brief, t</w:t>
      </w:r>
      <w:r w:rsidR="00335D4D">
        <w:t>his</w:t>
      </w:r>
      <w:r w:rsidRPr="008C5F17">
        <w:t xml:space="preserve"> model </w:t>
      </w:r>
      <w:r w:rsidRPr="004B2F0F">
        <w:t xml:space="preserve">was </w:t>
      </w:r>
      <w:r w:rsidR="0062537A">
        <w:t>generated</w:t>
      </w:r>
      <w:r w:rsidRPr="004B2F0F">
        <w:t xml:space="preserve"> using local and </w:t>
      </w:r>
      <w:r w:rsidR="008C5F17">
        <w:t xml:space="preserve">global SMILES-based descriptors on </w:t>
      </w:r>
      <w:r w:rsidR="0062537A">
        <w:t>3</w:t>
      </w:r>
      <w:r w:rsidR="008C5F17">
        <w:t xml:space="preserve"> random splits of data in training, calibration and validation sets. </w:t>
      </w:r>
      <w:r w:rsidR="00A4193B">
        <w:t>Test compounds are checked for falling into the applicability domain by calculating their DefectSMILES that should not exceed a predefined threshold value</w:t>
      </w:r>
      <w:r w:rsidR="00684200">
        <w:t>.</w:t>
      </w:r>
    </w:p>
    <w:p w14:paraId="720A17BD" w14:textId="77777777" w:rsidR="00503D7B" w:rsidRPr="000D29A4" w:rsidRDefault="00503D7B" w:rsidP="00DB7669">
      <w:pPr>
        <w:pStyle w:val="ListParagraph"/>
        <w:spacing w:after="0" w:line="480" w:lineRule="auto"/>
        <w:ind w:left="0"/>
        <w:jc w:val="both"/>
      </w:pPr>
    </w:p>
    <w:p w14:paraId="083DA028" w14:textId="77777777" w:rsidR="000D29A4" w:rsidRPr="00CF00F2" w:rsidRDefault="000D29A4" w:rsidP="00F94AD3">
      <w:pPr>
        <w:pStyle w:val="ListParagraph"/>
        <w:keepNext/>
        <w:keepLines/>
        <w:widowControl w:val="0"/>
        <w:numPr>
          <w:ilvl w:val="0"/>
          <w:numId w:val="1"/>
        </w:numPr>
        <w:spacing w:after="0" w:line="480" w:lineRule="auto"/>
        <w:jc w:val="both"/>
        <w:rPr>
          <w:i/>
          <w:sz w:val="24"/>
        </w:rPr>
      </w:pPr>
      <w:r w:rsidRPr="00CF00F2">
        <w:rPr>
          <w:i/>
          <w:sz w:val="24"/>
        </w:rPr>
        <w:lastRenderedPageBreak/>
        <w:t>istKNN</w:t>
      </w:r>
    </w:p>
    <w:p w14:paraId="3F35D7B4" w14:textId="38303340" w:rsidR="009E6B0B" w:rsidRDefault="009E6B0B" w:rsidP="00F94AD3">
      <w:pPr>
        <w:keepNext/>
        <w:keepLines/>
        <w:widowControl w:val="0"/>
        <w:spacing w:line="480" w:lineRule="auto"/>
        <w:jc w:val="both"/>
      </w:pPr>
      <w:r>
        <w:t xml:space="preserve">istKNN is </w:t>
      </w:r>
      <w:r w:rsidR="00C5062F">
        <w:t>a recently developed commercial</w:t>
      </w:r>
      <w:r>
        <w:t xml:space="preserve"> software tool</w:t>
      </w:r>
      <w:r w:rsidR="00C5062F">
        <w:t xml:space="preserve"> that can be used to build, evaluate and </w:t>
      </w:r>
      <w:r w:rsidR="00C5062F" w:rsidRPr="00C5062F">
        <w:t xml:space="preserve">apply k-Nearest </w:t>
      </w:r>
      <w:r w:rsidR="00C5062F" w:rsidRPr="002A50F2">
        <w:rPr>
          <w:lang w:val="en-US"/>
        </w:rPr>
        <w:t>Neighbors</w:t>
      </w:r>
      <w:r w:rsidR="00C5062F" w:rsidRPr="00C5062F">
        <w:t xml:space="preserve"> (k-NN</w:t>
      </w:r>
      <w:r w:rsidR="00C5062F">
        <w:t xml:space="preserve">) models. The k-NN approach </w:t>
      </w:r>
      <w:r w:rsidR="002A50F2">
        <w:t xml:space="preserve">identifies a number (k) of neighboring </w:t>
      </w:r>
      <w:r w:rsidR="00486F21">
        <w:t>compounds</w:t>
      </w:r>
      <w:r w:rsidR="002A50F2">
        <w:t xml:space="preserve"> for the target compound to make a prediction. </w:t>
      </w:r>
      <w:r w:rsidR="00E84460">
        <w:t>Each ‘neighbor’ is assigned a similarity index</w:t>
      </w:r>
      <w:r w:rsidR="00842437">
        <w:t>, allowing to extract the first k molecules with the closest similarity</w:t>
      </w:r>
      <w:r w:rsidR="00E84460">
        <w:t xml:space="preserve">. </w:t>
      </w:r>
      <w:r w:rsidR="00842437">
        <w:t>In addition,</w:t>
      </w:r>
      <w:r w:rsidR="00E84460">
        <w:t xml:space="preserve"> specific similarity threshold</w:t>
      </w:r>
      <w:r w:rsidR="00842437">
        <w:t>s are</w:t>
      </w:r>
      <w:r w:rsidR="00E84460">
        <w:t xml:space="preserve"> defined</w:t>
      </w:r>
      <w:r w:rsidR="00842437">
        <w:t>, r</w:t>
      </w:r>
      <w:r w:rsidR="00E548B0">
        <w:t>esulting in predictions solely based on molecules with a similarity index higher than the selected threshold</w:t>
      </w:r>
      <w:r w:rsidR="00E84460">
        <w:t xml:space="preserve">. </w:t>
      </w:r>
      <w:r w:rsidR="002A50F2">
        <w:t>This method and the</w:t>
      </w:r>
      <w:r w:rsidR="00C5062F">
        <w:t xml:space="preserve"> istKNN program are described by Manganaro et al. </w:t>
      </w:r>
      <w:r w:rsidR="002A50F2">
        <w:t>(2015)</w:t>
      </w:r>
      <w:r w:rsidR="00486F21">
        <w:t>.</w:t>
      </w:r>
      <w:r w:rsidR="00AE086F">
        <w:t xml:space="preserve"> </w:t>
      </w:r>
      <w:r w:rsidR="00486F21">
        <w:t>D</w:t>
      </w:r>
      <w:r w:rsidR="002A50F2">
        <w:t>etails concerning</w:t>
      </w:r>
      <w:r w:rsidR="00C5062F">
        <w:t xml:space="preserve"> the </w:t>
      </w:r>
      <w:r w:rsidR="002A50F2">
        <w:t xml:space="preserve">istKNN </w:t>
      </w:r>
      <w:r>
        <w:t>mod</w:t>
      </w:r>
      <w:r w:rsidR="005D75B3">
        <w:t>el</w:t>
      </w:r>
      <w:r>
        <w:t xml:space="preserve"> for Ames mutagenicity prediction of aromatic azo compounds</w:t>
      </w:r>
      <w:r w:rsidR="00486F21">
        <w:t xml:space="preserve"> were recently </w:t>
      </w:r>
      <w:r w:rsidR="00867670">
        <w:t>published</w:t>
      </w:r>
      <w:r w:rsidR="002A50F2">
        <w:t xml:space="preserve"> by Manganelli et al. (2016)</w:t>
      </w:r>
      <w:r>
        <w:t xml:space="preserve">. </w:t>
      </w:r>
    </w:p>
    <w:p w14:paraId="0FA0DE93" w14:textId="77777777" w:rsidR="000D29A4" w:rsidRDefault="000D29A4" w:rsidP="000612D3">
      <w:pPr>
        <w:spacing w:after="0" w:line="480" w:lineRule="auto"/>
        <w:jc w:val="both"/>
        <w:rPr>
          <w:b/>
        </w:rPr>
      </w:pPr>
    </w:p>
    <w:p w14:paraId="29875A23" w14:textId="77777777" w:rsidR="000612D3" w:rsidRPr="00001806" w:rsidRDefault="000612D3" w:rsidP="00EE3482">
      <w:pPr>
        <w:keepNext/>
        <w:widowControl w:val="0"/>
        <w:spacing w:after="0" w:line="480" w:lineRule="auto"/>
        <w:jc w:val="both"/>
        <w:rPr>
          <w:b/>
        </w:rPr>
      </w:pPr>
      <w:r w:rsidRPr="00C07ABD">
        <w:rPr>
          <w:b/>
        </w:rPr>
        <w:t xml:space="preserve">2.3. </w:t>
      </w:r>
      <w:r w:rsidR="00043CEE" w:rsidRPr="00C07ABD">
        <w:rPr>
          <w:b/>
        </w:rPr>
        <w:t>Model output processing</w:t>
      </w:r>
      <w:r w:rsidR="00043CEE">
        <w:rPr>
          <w:b/>
        </w:rPr>
        <w:t xml:space="preserve"> </w:t>
      </w:r>
    </w:p>
    <w:p w14:paraId="1372C32E" w14:textId="77777777" w:rsidR="009C187E" w:rsidRDefault="00CD3CCF" w:rsidP="00B65EAD">
      <w:pPr>
        <w:spacing w:after="0" w:line="480" w:lineRule="auto"/>
        <w:jc w:val="both"/>
      </w:pPr>
      <w:r>
        <w:t>E</w:t>
      </w:r>
      <w:r w:rsidR="00226FFA">
        <w:t>ach of the models described in</w:t>
      </w:r>
      <w:r w:rsidR="00B85B2D">
        <w:t xml:space="preserve"> section</w:t>
      </w:r>
      <w:r w:rsidR="00226FFA">
        <w:t xml:space="preserve"> 2.2. introduces its own particular denomination method to label negative and positive compounds (or</w:t>
      </w:r>
      <w:r w:rsidR="00E85933">
        <w:t xml:space="preserve"> -in the case of Derek-</w:t>
      </w:r>
      <w:r w:rsidR="00226FFA">
        <w:t xml:space="preserve"> the </w:t>
      </w:r>
      <w:r w:rsidR="008B6A20">
        <w:t>probability of toxicity</w:t>
      </w:r>
      <w:r>
        <w:t>). In the present study,</w:t>
      </w:r>
      <w:r w:rsidR="00226FFA">
        <w:t xml:space="preserve"> </w:t>
      </w:r>
      <w:r>
        <w:t xml:space="preserve">the </w:t>
      </w:r>
      <w:r w:rsidR="003502E7">
        <w:t>original</w:t>
      </w:r>
      <w:r>
        <w:t xml:space="preserve"> </w:t>
      </w:r>
      <w:r w:rsidR="003502E7">
        <w:t>model-specific classifications</w:t>
      </w:r>
      <w:r>
        <w:t xml:space="preserve"> were </w:t>
      </w:r>
      <w:r w:rsidR="000F368F">
        <w:t>convert</w:t>
      </w:r>
      <w:r w:rsidR="00D77B44">
        <w:t>ed</w:t>
      </w:r>
      <w:r>
        <w:t xml:space="preserve"> into </w:t>
      </w:r>
      <w:r w:rsidR="00EA2864">
        <w:t>3</w:t>
      </w:r>
      <w:r w:rsidR="00E85933">
        <w:t xml:space="preserve"> categories (negative, positive or </w:t>
      </w:r>
      <w:r w:rsidR="008B1506">
        <w:t>undefined</w:t>
      </w:r>
      <w:r w:rsidR="00E85933">
        <w:t>) for reasons of uniformity</w:t>
      </w:r>
      <w:r w:rsidR="009E36A3">
        <w:t xml:space="preserve"> (</w:t>
      </w:r>
      <w:r w:rsidR="00E94F91" w:rsidRPr="00F33303">
        <w:rPr>
          <w:b/>
        </w:rPr>
        <w:t>Table 2</w:t>
      </w:r>
      <w:r w:rsidR="00E94F91">
        <w:t>)</w:t>
      </w:r>
      <w:r w:rsidR="00E85933">
        <w:t xml:space="preserve">. </w:t>
      </w:r>
      <w:r w:rsidR="001A7E77">
        <w:t xml:space="preserve">The </w:t>
      </w:r>
      <w:r w:rsidR="008B1506">
        <w:t>undefined</w:t>
      </w:r>
      <w:r w:rsidR="001A7E77">
        <w:t xml:space="preserve"> category </w:t>
      </w:r>
      <w:r w:rsidR="00C07ABD">
        <w:t>is composed of</w:t>
      </w:r>
      <w:r w:rsidR="009C187E">
        <w:t xml:space="preserve">: </w:t>
      </w:r>
    </w:p>
    <w:p w14:paraId="277F3C47" w14:textId="165C37BF" w:rsidR="009C187E" w:rsidRDefault="00B24604" w:rsidP="00956ED1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>substances</w:t>
      </w:r>
      <w:r w:rsidR="008A3B69">
        <w:t xml:space="preserve"> </w:t>
      </w:r>
      <w:r w:rsidR="00C07ABD">
        <w:t>outside d</w:t>
      </w:r>
      <w:r>
        <w:t>omain (in the case of Sarah)</w:t>
      </w:r>
      <w:r w:rsidR="001215DC">
        <w:t xml:space="preserve">, </w:t>
      </w:r>
    </w:p>
    <w:p w14:paraId="176B4490" w14:textId="77777777" w:rsidR="009C187E" w:rsidRDefault="009C187E" w:rsidP="00956ED1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 xml:space="preserve">substances </w:t>
      </w:r>
      <w:r w:rsidR="001215DC">
        <w:t>lacking sufficient similar compounds to make a prediction (</w:t>
      </w:r>
      <w:r w:rsidR="0038402E">
        <w:t xml:space="preserve">in the case of </w:t>
      </w:r>
      <w:r w:rsidR="001215DC">
        <w:t>istKNN)</w:t>
      </w:r>
      <w:r>
        <w:t>,</w:t>
      </w:r>
    </w:p>
    <w:p w14:paraId="63A24703" w14:textId="27576208" w:rsidR="009C187E" w:rsidRDefault="009C187E" w:rsidP="00956ED1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 xml:space="preserve">substances </w:t>
      </w:r>
      <w:r w:rsidR="00C07ABD">
        <w:t>for which negative prediction</w:t>
      </w:r>
      <w:r w:rsidR="00876DA7">
        <w:t>s are</w:t>
      </w:r>
      <w:r w:rsidR="00C07ABD">
        <w:t xml:space="preserve"> less convincing due to a low ADI (</w:t>
      </w:r>
      <w:r w:rsidR="0038402E">
        <w:t xml:space="preserve">in the case of </w:t>
      </w:r>
      <w:r w:rsidR="00C07ABD">
        <w:t>VEGA)</w:t>
      </w:r>
      <w:r w:rsidR="0070628A">
        <w:t xml:space="preserve">, </w:t>
      </w:r>
    </w:p>
    <w:p w14:paraId="74AC7BC5" w14:textId="682669F8" w:rsidR="009C187E" w:rsidRDefault="009C187E" w:rsidP="00956ED1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 xml:space="preserve">substances with </w:t>
      </w:r>
      <w:r w:rsidR="0070628A">
        <w:t>high DefectSMILES (</w:t>
      </w:r>
      <w:r w:rsidR="0038402E">
        <w:t xml:space="preserve">in the case of </w:t>
      </w:r>
      <w:r w:rsidR="0070628A">
        <w:t>CORAL)</w:t>
      </w:r>
      <w:r>
        <w:t xml:space="preserve"> and</w:t>
      </w:r>
    </w:p>
    <w:p w14:paraId="56319412" w14:textId="71F5F8C2" w:rsidR="009C187E" w:rsidRDefault="009C187E" w:rsidP="00956ED1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>substances with</w:t>
      </w:r>
      <w:r w:rsidR="00C07ABD">
        <w:t xml:space="preserve"> mis-/unclassified features (</w:t>
      </w:r>
      <w:r w:rsidR="0038402E">
        <w:t xml:space="preserve">in the case of </w:t>
      </w:r>
      <w:r w:rsidR="00C07ABD">
        <w:t>Derek)</w:t>
      </w:r>
      <w:r w:rsidR="001A7E77">
        <w:t xml:space="preserve">. </w:t>
      </w:r>
    </w:p>
    <w:p w14:paraId="4899B50D" w14:textId="470A57DF" w:rsidR="00CD3CCF" w:rsidRDefault="00C07ABD" w:rsidP="00956ED1">
      <w:pPr>
        <w:pStyle w:val="ListParagraph"/>
        <w:spacing w:after="0" w:line="480" w:lineRule="auto"/>
        <w:ind w:left="768"/>
        <w:jc w:val="both"/>
      </w:pPr>
      <w:r>
        <w:t xml:space="preserve">This conservative approach was adopted in </w:t>
      </w:r>
      <w:r w:rsidR="00E0243C">
        <w:t>order to</w:t>
      </w:r>
      <w:r>
        <w:t xml:space="preserve"> </w:t>
      </w:r>
      <w:r w:rsidR="007E6AAA">
        <w:t>min</w:t>
      </w:r>
      <w:r w:rsidR="006F5566">
        <w:t>imiz</w:t>
      </w:r>
      <w:r w:rsidR="00E0243C">
        <w:t>e</w:t>
      </w:r>
      <w:r w:rsidR="007E6AAA">
        <w:t xml:space="preserve"> </w:t>
      </w:r>
      <w:r w:rsidR="00325EE8">
        <w:t xml:space="preserve">the number of </w:t>
      </w:r>
      <w:r w:rsidR="007E6AAA">
        <w:t>false negatives.</w:t>
      </w:r>
      <w:r w:rsidR="007E35E4">
        <w:t xml:space="preserve"> Indeed, label</w:t>
      </w:r>
      <w:r w:rsidR="000967AD">
        <w:t>ling mutagens incorrectly as non-mutagenic should be avoided as much as possible</w:t>
      </w:r>
      <w:r w:rsidR="007E35E4">
        <w:t>.</w:t>
      </w:r>
    </w:p>
    <w:p w14:paraId="1B351BC3" w14:textId="4BB4454C" w:rsidR="001215DC" w:rsidRDefault="001215DC">
      <w:pPr>
        <w:rPr>
          <w:sz w:val="20"/>
          <w:szCs w:val="20"/>
        </w:rPr>
      </w:pPr>
    </w:p>
    <w:p w14:paraId="2620B5BF" w14:textId="79065141" w:rsidR="00E85933" w:rsidRPr="000B70A2" w:rsidRDefault="00E85933" w:rsidP="00A4193B">
      <w:pPr>
        <w:keepNext/>
        <w:spacing w:after="0" w:line="480" w:lineRule="auto"/>
        <w:ind w:left="720" w:hanging="720"/>
        <w:jc w:val="both"/>
        <w:rPr>
          <w:b/>
          <w:sz w:val="20"/>
          <w:szCs w:val="20"/>
        </w:rPr>
      </w:pPr>
      <w:r w:rsidRPr="000B70A2">
        <w:rPr>
          <w:sz w:val="20"/>
          <w:szCs w:val="20"/>
        </w:rPr>
        <w:t>Table 2.</w:t>
      </w:r>
      <w:r w:rsidRPr="000B70A2">
        <w:rPr>
          <w:sz w:val="20"/>
          <w:szCs w:val="20"/>
        </w:rPr>
        <w:tab/>
      </w:r>
      <w:r w:rsidR="00C0785A">
        <w:rPr>
          <w:sz w:val="20"/>
          <w:szCs w:val="20"/>
        </w:rPr>
        <w:t>Harmoniz</w:t>
      </w:r>
      <w:r w:rsidR="00EB6D4B">
        <w:rPr>
          <w:sz w:val="20"/>
          <w:szCs w:val="20"/>
        </w:rPr>
        <w:t xml:space="preserve">ation of positive, negative and </w:t>
      </w:r>
      <w:r w:rsidR="000E0F5D">
        <w:rPr>
          <w:sz w:val="20"/>
          <w:szCs w:val="20"/>
        </w:rPr>
        <w:t>undefined</w:t>
      </w:r>
      <w:r w:rsidR="00EB6D4B">
        <w:rPr>
          <w:sz w:val="20"/>
          <w:szCs w:val="20"/>
        </w:rPr>
        <w:t xml:space="preserve"> predictions</w:t>
      </w:r>
    </w:p>
    <w:tbl>
      <w:tblPr>
        <w:tblStyle w:val="TableGrid"/>
        <w:tblW w:w="9747" w:type="dxa"/>
        <w:tblInd w:w="-3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977"/>
        <w:gridCol w:w="3260"/>
      </w:tblGrid>
      <w:tr w:rsidR="00595156" w:rsidRPr="000B70A2" w14:paraId="227CC020" w14:textId="77777777" w:rsidTr="00A4193B">
        <w:trPr>
          <w:cantSplit/>
          <w:trHeight w:val="2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9362E" w14:textId="77777777" w:rsidR="00595156" w:rsidRPr="00EE7A03" w:rsidRDefault="00595156" w:rsidP="009168E9">
            <w:pPr>
              <w:pStyle w:val="ListParagraph"/>
              <w:spacing w:line="480" w:lineRule="auto"/>
              <w:ind w:left="0"/>
              <w:rPr>
                <w:sz w:val="18"/>
                <w:szCs w:val="20"/>
                <w:u w:val="single"/>
              </w:rPr>
            </w:pPr>
            <w:r w:rsidRPr="00EE7A03">
              <w:rPr>
                <w:sz w:val="18"/>
                <w:szCs w:val="20"/>
                <w:u w:val="single"/>
              </w:rPr>
              <w:t>Model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05BBA" w14:textId="77777777" w:rsidR="00595156" w:rsidRPr="00EE7A03" w:rsidRDefault="00595156" w:rsidP="009168E9">
            <w:pPr>
              <w:pStyle w:val="ListParagraph"/>
              <w:spacing w:after="200" w:line="480" w:lineRule="auto"/>
              <w:ind w:left="0"/>
              <w:rPr>
                <w:sz w:val="18"/>
                <w:szCs w:val="20"/>
                <w:u w:val="single"/>
              </w:rPr>
            </w:pPr>
            <w:r w:rsidRPr="00EE7A03">
              <w:rPr>
                <w:sz w:val="18"/>
                <w:szCs w:val="20"/>
                <w:u w:val="single"/>
              </w:rPr>
              <w:t>Positive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BC052" w14:textId="77777777" w:rsidR="00595156" w:rsidRPr="00EE7A03" w:rsidRDefault="00595156" w:rsidP="009168E9">
            <w:pPr>
              <w:pStyle w:val="ListParagraph"/>
              <w:spacing w:after="200" w:line="480" w:lineRule="auto"/>
              <w:ind w:left="0"/>
              <w:rPr>
                <w:sz w:val="18"/>
                <w:szCs w:val="20"/>
                <w:u w:val="single"/>
              </w:rPr>
            </w:pPr>
            <w:r w:rsidRPr="00EE7A03">
              <w:rPr>
                <w:sz w:val="18"/>
                <w:szCs w:val="20"/>
                <w:u w:val="single"/>
              </w:rPr>
              <w:t>Negative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EEDC3C9" w14:textId="77777777" w:rsidR="00595156" w:rsidRPr="00EE7A03" w:rsidRDefault="000E0F5D" w:rsidP="009168E9">
            <w:pPr>
              <w:pStyle w:val="ListParagraph"/>
              <w:spacing w:line="480" w:lineRule="auto"/>
              <w:ind w:left="0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Undefined</w:t>
            </w:r>
          </w:p>
        </w:tc>
      </w:tr>
      <w:tr w:rsidR="006F3D10" w:rsidRPr="000B70A2" w14:paraId="7AAA4F91" w14:textId="77777777" w:rsidTr="00A4193B">
        <w:trPr>
          <w:cantSplit/>
          <w:trHeight w:val="627"/>
        </w:trPr>
        <w:tc>
          <w:tcPr>
            <w:tcW w:w="974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6E357C1" w14:textId="77777777" w:rsidR="006F3D10" w:rsidRPr="006F3D10" w:rsidRDefault="006F3D10" w:rsidP="006F3D10">
            <w:pPr>
              <w:pStyle w:val="ListParagraph"/>
              <w:spacing w:after="120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Global QSARs</w:t>
            </w:r>
          </w:p>
        </w:tc>
      </w:tr>
      <w:tr w:rsidR="00595156" w:rsidRPr="000B70A2" w14:paraId="3E554EE6" w14:textId="77777777" w:rsidTr="00A4193B">
        <w:trPr>
          <w:cantSplit/>
          <w:trHeight w:val="627"/>
        </w:trPr>
        <w:tc>
          <w:tcPr>
            <w:tcW w:w="1101" w:type="dxa"/>
            <w:tcBorders>
              <w:top w:val="nil"/>
              <w:bottom w:val="single" w:sz="4" w:space="0" w:color="FFFFFF" w:themeColor="background1"/>
            </w:tcBorders>
          </w:tcPr>
          <w:p w14:paraId="72BB6050" w14:textId="77777777" w:rsidR="00595156" w:rsidRPr="00EE7A03" w:rsidRDefault="00595156" w:rsidP="00E10402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 w:rsidRPr="00EE7A03">
              <w:rPr>
                <w:sz w:val="18"/>
                <w:szCs w:val="20"/>
              </w:rPr>
              <w:t>Toxtree</w:t>
            </w:r>
          </w:p>
        </w:tc>
        <w:tc>
          <w:tcPr>
            <w:tcW w:w="2409" w:type="dxa"/>
            <w:tcBorders>
              <w:top w:val="nil"/>
              <w:bottom w:val="single" w:sz="4" w:space="0" w:color="FFFFFF" w:themeColor="background1"/>
            </w:tcBorders>
          </w:tcPr>
          <w:p w14:paraId="196AD9F8" w14:textId="77777777" w:rsidR="00595156" w:rsidRPr="00EE7A03" w:rsidRDefault="00595156" w:rsidP="00E10402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 w:rsidRPr="00EE7A03">
              <w:rPr>
                <w:rFonts w:ascii="Calibri" w:hAnsi="Calibri"/>
                <w:sz w:val="18"/>
                <w:szCs w:val="20"/>
              </w:rPr>
              <w:t>Structural alert for S. typhimurium mutagenicity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</w:tcPr>
          <w:p w14:paraId="3338D124" w14:textId="77777777" w:rsidR="00595156" w:rsidRPr="00EE7A03" w:rsidRDefault="00595156" w:rsidP="00E10402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 w:rsidRPr="00EE7A03">
              <w:rPr>
                <w:rFonts w:ascii="Calibri" w:hAnsi="Calibri"/>
                <w:sz w:val="18"/>
                <w:szCs w:val="20"/>
              </w:rPr>
              <w:t xml:space="preserve">No </w:t>
            </w:r>
            <w:r w:rsidR="00A61BE8">
              <w:rPr>
                <w:rFonts w:ascii="Calibri" w:hAnsi="Calibri"/>
                <w:sz w:val="18"/>
                <w:szCs w:val="20"/>
              </w:rPr>
              <w:t xml:space="preserve">structural </w:t>
            </w:r>
            <w:r w:rsidRPr="00EE7A03">
              <w:rPr>
                <w:rFonts w:ascii="Calibri" w:hAnsi="Calibri"/>
                <w:sz w:val="18"/>
                <w:szCs w:val="20"/>
              </w:rPr>
              <w:t>alerts for S. typhimurium mutagenicity</w:t>
            </w:r>
          </w:p>
        </w:tc>
        <w:tc>
          <w:tcPr>
            <w:tcW w:w="3260" w:type="dxa"/>
            <w:tcBorders>
              <w:top w:val="nil"/>
              <w:bottom w:val="single" w:sz="4" w:space="0" w:color="FFFFFF" w:themeColor="background1"/>
            </w:tcBorders>
          </w:tcPr>
          <w:p w14:paraId="25BC27F3" w14:textId="77777777" w:rsidR="00595156" w:rsidRPr="00EE7A03" w:rsidRDefault="00F6482C" w:rsidP="00E10402">
            <w:pPr>
              <w:pStyle w:val="ListParagraph"/>
              <w:spacing w:after="120" w:line="360" w:lineRule="auto"/>
              <w:ind w:left="0"/>
              <w:rPr>
                <w:sz w:val="18"/>
                <w:szCs w:val="20"/>
              </w:rPr>
            </w:pPr>
            <w:r w:rsidRPr="00EE7A03">
              <w:rPr>
                <w:sz w:val="18"/>
                <w:szCs w:val="20"/>
              </w:rPr>
              <w:t>N/A</w:t>
            </w:r>
          </w:p>
        </w:tc>
      </w:tr>
      <w:tr w:rsidR="00595156" w:rsidRPr="000B70A2" w14:paraId="58AD7A02" w14:textId="77777777" w:rsidTr="00A4193B">
        <w:trPr>
          <w:cantSplit/>
          <w:trHeight w:val="568"/>
        </w:trPr>
        <w:tc>
          <w:tcPr>
            <w:tcW w:w="1101" w:type="dxa"/>
            <w:tcBorders>
              <w:top w:val="single" w:sz="4" w:space="0" w:color="FFFFFF" w:themeColor="background1"/>
            </w:tcBorders>
          </w:tcPr>
          <w:p w14:paraId="69C09B2E" w14:textId="77777777" w:rsidR="00595156" w:rsidRPr="00EE7A03" w:rsidRDefault="00595156" w:rsidP="00E10402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 w:rsidRPr="00EE7A03">
              <w:rPr>
                <w:sz w:val="18"/>
                <w:szCs w:val="20"/>
              </w:rPr>
              <w:t>VEGA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</w:tcPr>
          <w:p w14:paraId="1D0E1472" w14:textId="77777777" w:rsidR="00595156" w:rsidRPr="00EE7A03" w:rsidRDefault="00595156" w:rsidP="00E10402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 w:rsidRPr="00EE7A03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14:paraId="40331FFF" w14:textId="77777777" w:rsidR="00595156" w:rsidRPr="00EE7A03" w:rsidRDefault="00595156" w:rsidP="00E10402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 w:rsidRPr="00EE7A03">
              <w:rPr>
                <w:rFonts w:ascii="Calibri" w:hAnsi="Calibri"/>
                <w:sz w:val="18"/>
                <w:szCs w:val="20"/>
              </w:rPr>
              <w:t>0</w:t>
            </w:r>
            <w:r w:rsidR="00D04A9D" w:rsidRPr="00EE7A03">
              <w:rPr>
                <w:rFonts w:ascii="Calibri" w:hAnsi="Calibri"/>
                <w:sz w:val="18"/>
                <w:szCs w:val="20"/>
              </w:rPr>
              <w:t xml:space="preserve"> </w:t>
            </w:r>
            <w:r w:rsidR="00C07ABD" w:rsidRPr="00EE7A03">
              <w:rPr>
                <w:rFonts w:ascii="Calibri" w:hAnsi="Calibri"/>
                <w:sz w:val="18"/>
                <w:szCs w:val="20"/>
              </w:rPr>
              <w:t xml:space="preserve">with </w:t>
            </w:r>
            <w:r w:rsidR="00D04A9D" w:rsidRPr="00EE7A03">
              <w:rPr>
                <w:rFonts w:ascii="Calibri" w:hAnsi="Calibri"/>
                <w:sz w:val="18"/>
                <w:szCs w:val="20"/>
              </w:rPr>
              <w:t>ADI ≥0.75 for all models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14:paraId="045F5787" w14:textId="77777777" w:rsidR="00595156" w:rsidRPr="00EE7A03" w:rsidRDefault="00D04A9D" w:rsidP="00E10402">
            <w:pPr>
              <w:pStyle w:val="ListParagraph"/>
              <w:spacing w:after="120" w:line="360" w:lineRule="auto"/>
              <w:ind w:left="0"/>
              <w:rPr>
                <w:sz w:val="18"/>
                <w:szCs w:val="20"/>
              </w:rPr>
            </w:pPr>
            <w:r w:rsidRPr="00EE7A03">
              <w:rPr>
                <w:sz w:val="18"/>
                <w:szCs w:val="20"/>
              </w:rPr>
              <w:t xml:space="preserve">0 </w:t>
            </w:r>
            <w:r w:rsidR="00C07ABD" w:rsidRPr="00EE7A03">
              <w:rPr>
                <w:sz w:val="18"/>
                <w:szCs w:val="20"/>
              </w:rPr>
              <w:t xml:space="preserve">with </w:t>
            </w:r>
            <w:r w:rsidR="00F6482C" w:rsidRPr="00EE7A03">
              <w:rPr>
                <w:sz w:val="18"/>
                <w:szCs w:val="20"/>
              </w:rPr>
              <w:t xml:space="preserve">ADI &lt;0.75 </w:t>
            </w:r>
            <w:r w:rsidR="009C2EAD" w:rsidRPr="00EE7A03">
              <w:rPr>
                <w:sz w:val="18"/>
                <w:szCs w:val="20"/>
              </w:rPr>
              <w:t xml:space="preserve">for at least 1 model </w:t>
            </w:r>
          </w:p>
        </w:tc>
      </w:tr>
      <w:tr w:rsidR="00595156" w:rsidRPr="000B70A2" w14:paraId="19B7D781" w14:textId="77777777" w:rsidTr="00A4193B">
        <w:trPr>
          <w:cantSplit/>
        </w:trPr>
        <w:tc>
          <w:tcPr>
            <w:tcW w:w="1101" w:type="dxa"/>
          </w:tcPr>
          <w:p w14:paraId="122E7FC3" w14:textId="77777777" w:rsidR="00595156" w:rsidRPr="00EE7A03" w:rsidRDefault="00595156" w:rsidP="00E10402">
            <w:pPr>
              <w:pStyle w:val="ListParagraph"/>
              <w:spacing w:after="120" w:line="360" w:lineRule="auto"/>
              <w:ind w:left="0"/>
              <w:rPr>
                <w:sz w:val="18"/>
                <w:szCs w:val="20"/>
              </w:rPr>
            </w:pPr>
            <w:r w:rsidRPr="00EE7A03">
              <w:rPr>
                <w:sz w:val="18"/>
                <w:szCs w:val="20"/>
              </w:rPr>
              <w:t>Derek</w:t>
            </w:r>
          </w:p>
        </w:tc>
        <w:tc>
          <w:tcPr>
            <w:tcW w:w="2409" w:type="dxa"/>
          </w:tcPr>
          <w:p w14:paraId="1CE817EF" w14:textId="77777777" w:rsidR="00595156" w:rsidRPr="00EE7A03" w:rsidRDefault="00122F4C" w:rsidP="00E10402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‘</w:t>
            </w:r>
            <w:r w:rsidR="00595156" w:rsidRPr="00EE7A03">
              <w:rPr>
                <w:rFonts w:ascii="Calibri" w:hAnsi="Calibri"/>
                <w:sz w:val="18"/>
                <w:szCs w:val="20"/>
              </w:rPr>
              <w:t>Equivocal</w:t>
            </w:r>
            <w:r>
              <w:rPr>
                <w:rFonts w:ascii="Calibri" w:hAnsi="Calibri"/>
                <w:sz w:val="18"/>
                <w:szCs w:val="20"/>
              </w:rPr>
              <w:t>’ to</w:t>
            </w:r>
            <w:r w:rsidR="00595156" w:rsidRPr="00EE7A03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>‘</w:t>
            </w:r>
            <w:r w:rsidR="00595156" w:rsidRPr="00EE7A03">
              <w:rPr>
                <w:rFonts w:ascii="Calibri" w:hAnsi="Calibri"/>
                <w:sz w:val="18"/>
                <w:szCs w:val="20"/>
              </w:rPr>
              <w:t>Certain</w:t>
            </w:r>
            <w:r>
              <w:rPr>
                <w:rFonts w:ascii="Calibri" w:hAnsi="Calibri"/>
                <w:sz w:val="18"/>
                <w:szCs w:val="20"/>
              </w:rPr>
              <w:t>’</w:t>
            </w:r>
          </w:p>
        </w:tc>
        <w:tc>
          <w:tcPr>
            <w:tcW w:w="2977" w:type="dxa"/>
          </w:tcPr>
          <w:p w14:paraId="0EEAF93A" w14:textId="77777777" w:rsidR="00595156" w:rsidRPr="00EE7A03" w:rsidRDefault="00122F4C" w:rsidP="00E10402">
            <w:pPr>
              <w:spacing w:after="12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‘</w:t>
            </w:r>
            <w:r w:rsidR="00595156" w:rsidRPr="00EE7A03">
              <w:rPr>
                <w:sz w:val="18"/>
                <w:szCs w:val="20"/>
              </w:rPr>
              <w:t xml:space="preserve">Inactive </w:t>
            </w:r>
            <w:r w:rsidR="00307F6C" w:rsidRPr="00EE7A03">
              <w:rPr>
                <w:sz w:val="18"/>
                <w:szCs w:val="20"/>
              </w:rPr>
              <w:t>without</w:t>
            </w:r>
            <w:r w:rsidR="00D04A9D" w:rsidRPr="00EE7A03">
              <w:rPr>
                <w:sz w:val="18"/>
                <w:szCs w:val="20"/>
              </w:rPr>
              <w:t xml:space="preserve"> mis-/unclassified features</w:t>
            </w:r>
            <w:r>
              <w:rPr>
                <w:sz w:val="18"/>
                <w:szCs w:val="20"/>
              </w:rPr>
              <w:t>’ to</w:t>
            </w:r>
            <w:r w:rsidR="00595156" w:rsidRPr="00EE7A0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‘</w:t>
            </w:r>
            <w:r w:rsidR="00595156" w:rsidRPr="00EE7A03">
              <w:rPr>
                <w:sz w:val="18"/>
                <w:szCs w:val="20"/>
              </w:rPr>
              <w:t>Doubted</w:t>
            </w:r>
            <w:r>
              <w:rPr>
                <w:sz w:val="18"/>
                <w:szCs w:val="20"/>
              </w:rPr>
              <w:t>’</w:t>
            </w:r>
          </w:p>
        </w:tc>
        <w:tc>
          <w:tcPr>
            <w:tcW w:w="3260" w:type="dxa"/>
          </w:tcPr>
          <w:p w14:paraId="6767F1E5" w14:textId="77777777" w:rsidR="00595156" w:rsidRPr="00EE7A03" w:rsidRDefault="00D04A9D" w:rsidP="00E10402">
            <w:pPr>
              <w:pStyle w:val="ListParagraph"/>
              <w:spacing w:after="120" w:line="360" w:lineRule="auto"/>
              <w:ind w:left="0"/>
              <w:rPr>
                <w:sz w:val="18"/>
                <w:szCs w:val="20"/>
              </w:rPr>
            </w:pPr>
            <w:r w:rsidRPr="00EE7A03">
              <w:rPr>
                <w:sz w:val="18"/>
                <w:szCs w:val="20"/>
              </w:rPr>
              <w:t xml:space="preserve">Inactive </w:t>
            </w:r>
            <w:r w:rsidR="00307F6C" w:rsidRPr="00EE7A03">
              <w:rPr>
                <w:sz w:val="18"/>
                <w:szCs w:val="20"/>
              </w:rPr>
              <w:t xml:space="preserve">with </w:t>
            </w:r>
            <w:r w:rsidRPr="00EE7A03">
              <w:rPr>
                <w:sz w:val="18"/>
                <w:szCs w:val="20"/>
              </w:rPr>
              <w:t>m</w:t>
            </w:r>
            <w:r w:rsidR="00595156" w:rsidRPr="00EE7A03">
              <w:rPr>
                <w:sz w:val="18"/>
                <w:szCs w:val="20"/>
              </w:rPr>
              <w:t>is</w:t>
            </w:r>
            <w:r w:rsidRPr="00EE7A03">
              <w:rPr>
                <w:sz w:val="18"/>
                <w:szCs w:val="20"/>
              </w:rPr>
              <w:t>-/u</w:t>
            </w:r>
            <w:r w:rsidR="00595156" w:rsidRPr="00EE7A03">
              <w:rPr>
                <w:sz w:val="18"/>
                <w:szCs w:val="20"/>
              </w:rPr>
              <w:t>nclassified features</w:t>
            </w:r>
          </w:p>
        </w:tc>
      </w:tr>
      <w:tr w:rsidR="00595156" w:rsidRPr="000B70A2" w14:paraId="7CCCF91D" w14:textId="77777777" w:rsidTr="00A4193B">
        <w:trPr>
          <w:cantSplit/>
          <w:trHeight w:val="527"/>
        </w:trPr>
        <w:tc>
          <w:tcPr>
            <w:tcW w:w="1101" w:type="dxa"/>
          </w:tcPr>
          <w:p w14:paraId="3CD32643" w14:textId="77777777" w:rsidR="00595156" w:rsidRPr="00EE7A03" w:rsidRDefault="00595156" w:rsidP="00E10402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 w:rsidRPr="00EE7A03">
              <w:rPr>
                <w:sz w:val="18"/>
                <w:szCs w:val="20"/>
              </w:rPr>
              <w:t>Sarah</w:t>
            </w:r>
          </w:p>
        </w:tc>
        <w:tc>
          <w:tcPr>
            <w:tcW w:w="2409" w:type="dxa"/>
          </w:tcPr>
          <w:p w14:paraId="0B6FAD3D" w14:textId="77777777" w:rsidR="00595156" w:rsidRPr="00EE7A03" w:rsidRDefault="00595156" w:rsidP="00E10402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 w:rsidRPr="00EE7A03">
              <w:rPr>
                <w:rFonts w:ascii="Calibri" w:hAnsi="Calibri"/>
                <w:sz w:val="18"/>
                <w:szCs w:val="20"/>
              </w:rPr>
              <w:t>Positive</w:t>
            </w:r>
          </w:p>
        </w:tc>
        <w:tc>
          <w:tcPr>
            <w:tcW w:w="2977" w:type="dxa"/>
          </w:tcPr>
          <w:p w14:paraId="5655A8EB" w14:textId="77777777" w:rsidR="00595156" w:rsidRPr="00EE7A03" w:rsidRDefault="00595156" w:rsidP="00E10402">
            <w:pPr>
              <w:spacing w:after="120" w:line="360" w:lineRule="auto"/>
              <w:rPr>
                <w:sz w:val="18"/>
                <w:szCs w:val="20"/>
              </w:rPr>
            </w:pPr>
            <w:r w:rsidRPr="00EE7A03">
              <w:rPr>
                <w:sz w:val="18"/>
                <w:szCs w:val="20"/>
              </w:rPr>
              <w:t>Negative</w:t>
            </w:r>
          </w:p>
        </w:tc>
        <w:tc>
          <w:tcPr>
            <w:tcW w:w="3260" w:type="dxa"/>
          </w:tcPr>
          <w:p w14:paraId="2F3E1C35" w14:textId="77777777" w:rsidR="00595156" w:rsidRPr="00EE7A03" w:rsidRDefault="00595156" w:rsidP="00E10402">
            <w:pPr>
              <w:pStyle w:val="ListParagraph"/>
              <w:spacing w:after="120" w:line="360" w:lineRule="auto"/>
              <w:ind w:left="0"/>
              <w:rPr>
                <w:sz w:val="18"/>
                <w:szCs w:val="20"/>
              </w:rPr>
            </w:pPr>
            <w:r w:rsidRPr="00EE7A03">
              <w:rPr>
                <w:sz w:val="18"/>
                <w:szCs w:val="20"/>
              </w:rPr>
              <w:t>Outside domain</w:t>
            </w:r>
          </w:p>
        </w:tc>
      </w:tr>
      <w:tr w:rsidR="00617AA8" w:rsidRPr="000B70A2" w14:paraId="0910246B" w14:textId="77777777" w:rsidTr="00A4193B">
        <w:trPr>
          <w:cantSplit/>
          <w:trHeight w:val="292"/>
        </w:trPr>
        <w:tc>
          <w:tcPr>
            <w:tcW w:w="6487" w:type="dxa"/>
            <w:gridSpan w:val="3"/>
          </w:tcPr>
          <w:p w14:paraId="5E7DC1E6" w14:textId="77777777" w:rsidR="00617AA8" w:rsidRDefault="00617AA8" w:rsidP="00E10402">
            <w:pPr>
              <w:spacing w:after="120" w:line="360" w:lineRule="auto"/>
              <w:rPr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Local QSARs for a</w:t>
            </w:r>
            <w:r w:rsidRPr="00370267">
              <w:rPr>
                <w:rFonts w:ascii="Calibri" w:hAnsi="Calibri"/>
                <w:i/>
                <w:sz w:val="18"/>
                <w:szCs w:val="20"/>
              </w:rPr>
              <w:t xml:space="preserve">romatic azo compounds </w:t>
            </w:r>
          </w:p>
        </w:tc>
        <w:tc>
          <w:tcPr>
            <w:tcW w:w="3260" w:type="dxa"/>
          </w:tcPr>
          <w:p w14:paraId="198471D8" w14:textId="77777777" w:rsidR="00617AA8" w:rsidRPr="00C0785A" w:rsidRDefault="00617AA8" w:rsidP="00E10402">
            <w:pPr>
              <w:pStyle w:val="ListParagraph"/>
              <w:spacing w:after="120" w:line="360" w:lineRule="auto"/>
              <w:ind w:left="0"/>
              <w:rPr>
                <w:sz w:val="18"/>
                <w:szCs w:val="20"/>
                <w:highlight w:val="yellow"/>
              </w:rPr>
            </w:pPr>
          </w:p>
        </w:tc>
      </w:tr>
      <w:tr w:rsidR="00C0785A" w:rsidRPr="000B70A2" w14:paraId="37A76737" w14:textId="77777777" w:rsidTr="00A4193B">
        <w:trPr>
          <w:cantSplit/>
        </w:trPr>
        <w:tc>
          <w:tcPr>
            <w:tcW w:w="1101" w:type="dxa"/>
          </w:tcPr>
          <w:p w14:paraId="4B51D225" w14:textId="77777777" w:rsidR="00C0785A" w:rsidRPr="00EE7A03" w:rsidRDefault="00C0785A" w:rsidP="00E10402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CORAL</w:t>
            </w:r>
          </w:p>
        </w:tc>
        <w:tc>
          <w:tcPr>
            <w:tcW w:w="2409" w:type="dxa"/>
          </w:tcPr>
          <w:p w14:paraId="1CF7B4E7" w14:textId="77777777" w:rsidR="00C0785A" w:rsidRPr="00EE7A03" w:rsidRDefault="00C0785A" w:rsidP="00E10402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2977" w:type="dxa"/>
          </w:tcPr>
          <w:p w14:paraId="65E3C520" w14:textId="1BFA54E7" w:rsidR="00C0785A" w:rsidRPr="00EE7A03" w:rsidRDefault="00C0785A" w:rsidP="00F97C12">
            <w:pPr>
              <w:spacing w:after="12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70628A">
              <w:rPr>
                <w:sz w:val="18"/>
                <w:szCs w:val="20"/>
              </w:rPr>
              <w:t xml:space="preserve"> with DefectSMILES &lt;1.83485</w:t>
            </w:r>
          </w:p>
        </w:tc>
        <w:tc>
          <w:tcPr>
            <w:tcW w:w="3260" w:type="dxa"/>
            <w:shd w:val="clear" w:color="auto" w:fill="auto"/>
          </w:tcPr>
          <w:p w14:paraId="6E0E5A34" w14:textId="6D97E38D" w:rsidR="00C0785A" w:rsidRPr="00C0785A" w:rsidRDefault="0070628A" w:rsidP="00F97C12">
            <w:pPr>
              <w:pStyle w:val="ListParagraph"/>
              <w:spacing w:after="120" w:line="360" w:lineRule="auto"/>
              <w:ind w:left="0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0 with DefectSMILES ≥1.83485</w:t>
            </w:r>
          </w:p>
        </w:tc>
      </w:tr>
      <w:tr w:rsidR="00C0785A" w:rsidRPr="000B70A2" w14:paraId="7394EAE9" w14:textId="77777777" w:rsidTr="00A4193B">
        <w:trPr>
          <w:cantSplit/>
        </w:trPr>
        <w:tc>
          <w:tcPr>
            <w:tcW w:w="1101" w:type="dxa"/>
          </w:tcPr>
          <w:p w14:paraId="2C2F793B" w14:textId="77777777" w:rsidR="00C0785A" w:rsidRPr="00EE7A03" w:rsidRDefault="00C0785A" w:rsidP="00E10402">
            <w:pPr>
              <w:pStyle w:val="ListParagraph"/>
              <w:spacing w:line="480" w:lineRule="auto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istKNN</w:t>
            </w:r>
          </w:p>
        </w:tc>
        <w:tc>
          <w:tcPr>
            <w:tcW w:w="2409" w:type="dxa"/>
          </w:tcPr>
          <w:p w14:paraId="344A9484" w14:textId="77777777" w:rsidR="00C0785A" w:rsidRPr="00EE7A03" w:rsidRDefault="00C0785A" w:rsidP="00E10402">
            <w:pPr>
              <w:spacing w:after="120" w:line="36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2977" w:type="dxa"/>
          </w:tcPr>
          <w:p w14:paraId="2C305BC1" w14:textId="62DD570E" w:rsidR="00C0785A" w:rsidRPr="00EE7A03" w:rsidRDefault="00C0785A" w:rsidP="001215DC">
            <w:pPr>
              <w:spacing w:after="12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3260" w:type="dxa"/>
          </w:tcPr>
          <w:p w14:paraId="563CBFBF" w14:textId="53A6D939" w:rsidR="00C0785A" w:rsidRPr="00C0785A" w:rsidRDefault="001215DC" w:rsidP="001215DC">
            <w:pPr>
              <w:pStyle w:val="ListParagraph"/>
              <w:keepLines/>
              <w:spacing w:after="120" w:line="360" w:lineRule="auto"/>
              <w:ind w:left="0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No molecules were suitable for prediction</w:t>
            </w:r>
          </w:p>
        </w:tc>
      </w:tr>
    </w:tbl>
    <w:p w14:paraId="3304D565" w14:textId="38558165" w:rsidR="00E85933" w:rsidRDefault="00E8669F" w:rsidP="008E5C49">
      <w:pPr>
        <w:spacing w:after="0" w:line="480" w:lineRule="auto"/>
        <w:jc w:val="both"/>
        <w:rPr>
          <w:sz w:val="20"/>
        </w:rPr>
      </w:pPr>
      <w:r>
        <w:rPr>
          <w:sz w:val="20"/>
          <w:szCs w:val="20"/>
        </w:rPr>
        <w:t xml:space="preserve">N/A: not applicable; ADI: </w:t>
      </w:r>
      <w:r w:rsidRPr="00A61BE8">
        <w:rPr>
          <w:sz w:val="20"/>
          <w:szCs w:val="20"/>
        </w:rPr>
        <w:t>applicability domain index</w:t>
      </w:r>
    </w:p>
    <w:p w14:paraId="58DDB445" w14:textId="77777777" w:rsidR="00352C90" w:rsidRDefault="00352C90" w:rsidP="008E5C49">
      <w:pPr>
        <w:spacing w:after="0" w:line="480" w:lineRule="auto"/>
        <w:jc w:val="both"/>
        <w:rPr>
          <w:sz w:val="20"/>
        </w:rPr>
      </w:pPr>
    </w:p>
    <w:p w14:paraId="5B7B5B22" w14:textId="77777777" w:rsidR="008E5C49" w:rsidRPr="008E5C49" w:rsidRDefault="008E5C49" w:rsidP="00C533EC">
      <w:pPr>
        <w:keepNext/>
        <w:spacing w:after="0" w:line="480" w:lineRule="auto"/>
        <w:jc w:val="both"/>
        <w:rPr>
          <w:b/>
        </w:rPr>
      </w:pPr>
      <w:r w:rsidRPr="008E5C49">
        <w:rPr>
          <w:b/>
        </w:rPr>
        <w:t xml:space="preserve">2.4. </w:t>
      </w:r>
      <w:r w:rsidR="00EE7A03">
        <w:rPr>
          <w:b/>
        </w:rPr>
        <w:t>Determination and c</w:t>
      </w:r>
      <w:r w:rsidR="00B802B0">
        <w:rPr>
          <w:b/>
        </w:rPr>
        <w:t>haracteriz</w:t>
      </w:r>
      <w:r w:rsidRPr="008E5C49">
        <w:rPr>
          <w:b/>
        </w:rPr>
        <w:t>ation of priority substances</w:t>
      </w:r>
    </w:p>
    <w:p w14:paraId="26640038" w14:textId="365EB358" w:rsidR="00672EE2" w:rsidRDefault="007C1AB5" w:rsidP="00727CEC">
      <w:pPr>
        <w:keepLines/>
        <w:spacing w:after="0" w:line="480" w:lineRule="auto"/>
        <w:jc w:val="both"/>
      </w:pPr>
      <w:r>
        <w:t>All compounds were processed in 4 global (Q)SARs (i.e. Toxtree, Vega, Derek Nexus™ and Sarah Nexus™), which are based on structurally diverse compounds, reflecting a range of different action mechanisms (Chaudry et al., 2010). Aromatic azo compounds were also examined in 2 local QSAR models (i.e. CORAL and istKNN), built from structurally similar compounds i.e. all containing an aromatic azo structure.</w:t>
      </w:r>
      <w:r w:rsidR="001C207F">
        <w:t xml:space="preserve"> </w:t>
      </w:r>
      <w:r w:rsidR="00B06B6B">
        <w:t xml:space="preserve">Substances positive in </w:t>
      </w:r>
      <w:r w:rsidR="00E871E9">
        <w:t>the 4 global</w:t>
      </w:r>
      <w:r w:rsidR="00B06B6B">
        <w:t xml:space="preserve"> tools are considered of highest priority with re</w:t>
      </w:r>
      <w:r w:rsidR="00176E48">
        <w:t xml:space="preserve">spect to </w:t>
      </w:r>
      <w:r w:rsidR="00235CCF">
        <w:t>further</w:t>
      </w:r>
      <w:r w:rsidR="00176E48">
        <w:t xml:space="preserve"> safety testing. Among these, </w:t>
      </w:r>
      <w:r w:rsidR="002E73A8">
        <w:t xml:space="preserve">priority ranking </w:t>
      </w:r>
      <w:r w:rsidR="006D32A0">
        <w:t>was</w:t>
      </w:r>
      <w:r w:rsidR="00176E48">
        <w:t xml:space="preserve"> </w:t>
      </w:r>
      <w:r w:rsidR="00235CCF">
        <w:t>refined</w:t>
      </w:r>
      <w:r w:rsidR="00193927">
        <w:t xml:space="preserve"> </w:t>
      </w:r>
      <w:r w:rsidR="00235CCF">
        <w:t>based on</w:t>
      </w:r>
      <w:r w:rsidR="00193927">
        <w:t xml:space="preserve"> the amount and reliability of available experimental mutagenicity data</w:t>
      </w:r>
      <w:r w:rsidR="00B06B6B">
        <w:t>.</w:t>
      </w:r>
      <w:r w:rsidR="00AF6EA7">
        <w:t xml:space="preserve"> This is</w:t>
      </w:r>
      <w:r w:rsidR="005246ED">
        <w:t xml:space="preserve"> ideally </w:t>
      </w:r>
      <w:r w:rsidR="00AF6EA7">
        <w:t>investigated</w:t>
      </w:r>
      <w:r w:rsidR="005246ED">
        <w:t xml:space="preserve"> through database and literature searches</w:t>
      </w:r>
      <w:r w:rsidR="004C5E61">
        <w:t>. H</w:t>
      </w:r>
      <w:r w:rsidR="005246ED">
        <w:t>owever</w:t>
      </w:r>
      <w:r w:rsidR="00AF6EA7">
        <w:t>,</w:t>
      </w:r>
      <w:r w:rsidR="005246ED">
        <w:t xml:space="preserve"> a fair amount of</w:t>
      </w:r>
      <w:r w:rsidR="00544A89">
        <w:t xml:space="preserve"> information can</w:t>
      </w:r>
      <w:r w:rsidR="00AF6EA7">
        <w:t xml:space="preserve"> already</w:t>
      </w:r>
      <w:r w:rsidR="00544A89">
        <w:t xml:space="preserve"> be deduc</w:t>
      </w:r>
      <w:r w:rsidR="00366BC4">
        <w:t>ed by</w:t>
      </w:r>
      <w:r w:rsidR="009C7367">
        <w:t xml:space="preserve"> a more detailed investigation of the</w:t>
      </w:r>
      <w:r w:rsidR="00366BC4">
        <w:t xml:space="preserve"> (Q)SAR </w:t>
      </w:r>
      <w:r w:rsidR="009C7367">
        <w:t xml:space="preserve">results. For example, </w:t>
      </w:r>
      <w:r w:rsidR="00FF382B">
        <w:t xml:space="preserve">substances </w:t>
      </w:r>
      <w:r w:rsidR="005C727E">
        <w:t xml:space="preserve">predicted positive </w:t>
      </w:r>
      <w:r w:rsidR="00FF382B">
        <w:t xml:space="preserve">with </w:t>
      </w:r>
      <w:r w:rsidR="007D0E63">
        <w:t xml:space="preserve">a </w:t>
      </w:r>
      <w:r w:rsidR="00366BC4">
        <w:t xml:space="preserve">confidence score of 100% in Sarah or </w:t>
      </w:r>
      <w:r w:rsidR="007D0E63">
        <w:t xml:space="preserve">an </w:t>
      </w:r>
      <w:r w:rsidR="00366BC4">
        <w:t xml:space="preserve">ADI </w:t>
      </w:r>
      <w:r w:rsidR="007D0E63">
        <w:t>of</w:t>
      </w:r>
      <w:r w:rsidR="00366BC4">
        <w:t xml:space="preserve"> 1 in VEGA</w:t>
      </w:r>
      <w:r w:rsidR="009C7367">
        <w:t xml:space="preserve"> </w:t>
      </w:r>
      <w:r w:rsidR="00FF382B">
        <w:t>are</w:t>
      </w:r>
      <w:r w:rsidR="009C7367">
        <w:t xml:space="preserve"> </w:t>
      </w:r>
      <w:r w:rsidR="00C533EC">
        <w:t>chemicals</w:t>
      </w:r>
      <w:r w:rsidR="005C727E">
        <w:t xml:space="preserve"> for which positive experimental </w:t>
      </w:r>
      <w:r w:rsidR="009C7367">
        <w:t>Ames test</w:t>
      </w:r>
      <w:r w:rsidR="005C727E">
        <w:t xml:space="preserve"> results are already available</w:t>
      </w:r>
      <w:r w:rsidR="00366BC4">
        <w:t>.</w:t>
      </w:r>
      <w:r w:rsidR="00B06B6B">
        <w:t xml:space="preserve"> </w:t>
      </w:r>
    </w:p>
    <w:p w14:paraId="1B3CE90D" w14:textId="11B325DC" w:rsidR="00430670" w:rsidRDefault="00FF2C00" w:rsidP="00B65EAD">
      <w:pPr>
        <w:spacing w:after="0" w:line="480" w:lineRule="auto"/>
        <w:jc w:val="both"/>
      </w:pPr>
      <w:r w:rsidRPr="00153E50">
        <w:lastRenderedPageBreak/>
        <w:t xml:space="preserve">Furthermore, </w:t>
      </w:r>
      <w:r w:rsidR="00672EE2" w:rsidRPr="00153E50">
        <w:t>a</w:t>
      </w:r>
      <w:r w:rsidR="00F64C9F" w:rsidRPr="00153E50">
        <w:t xml:space="preserve"> recently compiled</w:t>
      </w:r>
      <w:r w:rsidR="00FB4C34" w:rsidRPr="00153E50">
        <w:t xml:space="preserve"> inventory</w:t>
      </w:r>
      <w:r w:rsidR="00672EE2" w:rsidRPr="00153E50">
        <w:t xml:space="preserve"> of substances which may be used in printed paper and board FCM</w:t>
      </w:r>
      <w:r w:rsidR="00FB4C34" w:rsidRPr="00153E50">
        <w:t xml:space="preserve"> was consulted to </w:t>
      </w:r>
      <w:r w:rsidR="00A33369">
        <w:t xml:space="preserve">roughly estimate the likelihood of the </w:t>
      </w:r>
      <w:r w:rsidR="002C1A22" w:rsidRPr="00153E50">
        <w:t>high</w:t>
      </w:r>
      <w:r w:rsidR="00672EE2" w:rsidRPr="00153E50">
        <w:t xml:space="preserve"> priority</w:t>
      </w:r>
      <w:r w:rsidR="00FB4C34" w:rsidRPr="00153E50">
        <w:t xml:space="preserve"> substances to migrate </w:t>
      </w:r>
      <w:r w:rsidR="00A33369">
        <w:t xml:space="preserve">into the food </w:t>
      </w:r>
      <w:r w:rsidR="00FB4C34" w:rsidRPr="00153E50">
        <w:t xml:space="preserve">and become bioavailable after oral intake. </w:t>
      </w:r>
      <w:r w:rsidR="00613070" w:rsidRPr="00153E50">
        <w:t>In addition</w:t>
      </w:r>
      <w:r w:rsidR="002C1A22" w:rsidRPr="00153E50">
        <w:t>,</w:t>
      </w:r>
      <w:r w:rsidR="00672EE2" w:rsidRPr="00153E50">
        <w:t xml:space="preserve"> the </w:t>
      </w:r>
      <w:r w:rsidR="008556B9" w:rsidRPr="00153E50">
        <w:t>Flavours, Additives and food Contact materials Exposure Task (</w:t>
      </w:r>
      <w:r w:rsidR="00672EE2" w:rsidRPr="00153E50">
        <w:t>FACET</w:t>
      </w:r>
      <w:r w:rsidR="008556B9" w:rsidRPr="00153E50">
        <w:t>)</w:t>
      </w:r>
      <w:r w:rsidR="00672EE2" w:rsidRPr="00153E50">
        <w:t xml:space="preserve"> tool</w:t>
      </w:r>
      <w:r w:rsidR="002C1A22" w:rsidRPr="00153E50">
        <w:t xml:space="preserve"> </w:t>
      </w:r>
      <w:r w:rsidR="00FB6A7F" w:rsidRPr="00153E50">
        <w:t>was</w:t>
      </w:r>
      <w:r w:rsidR="002C1A22" w:rsidRPr="00153E50">
        <w:t xml:space="preserve"> used to obtain a first indication of their actual</w:t>
      </w:r>
      <w:r w:rsidR="00153E50" w:rsidRPr="00153E50">
        <w:t xml:space="preserve"> use</w:t>
      </w:r>
      <w:r w:rsidR="002C1A22" w:rsidRPr="00153E50">
        <w:t>.</w:t>
      </w:r>
      <w:r w:rsidR="00672EE2" w:rsidRPr="00153E50">
        <w:t xml:space="preserve"> </w:t>
      </w:r>
      <w:r w:rsidR="006947A8" w:rsidRPr="00153E50">
        <w:t>The inventory</w:t>
      </w:r>
      <w:r w:rsidR="00FB6A7F" w:rsidRPr="00153E50">
        <w:t xml:space="preserve"> and</w:t>
      </w:r>
      <w:r w:rsidR="006947A8" w:rsidRPr="00153E50">
        <w:t xml:space="preserve"> FACET tool </w:t>
      </w:r>
      <w:r w:rsidR="00D76564">
        <w:t>have been</w:t>
      </w:r>
      <w:r w:rsidR="006947A8" w:rsidRPr="00153E50">
        <w:t xml:space="preserve"> described </w:t>
      </w:r>
      <w:r w:rsidR="00D76564">
        <w:t>earlier (</w:t>
      </w:r>
      <w:r w:rsidR="006947A8" w:rsidRPr="00153E50">
        <w:t>Van Bossuyt</w:t>
      </w:r>
      <w:r w:rsidR="00BD36D6">
        <w:t xml:space="preserve"> et al.</w:t>
      </w:r>
      <w:r w:rsidR="00445CC9">
        <w:t>,</w:t>
      </w:r>
      <w:r w:rsidR="006947A8" w:rsidRPr="00153E50">
        <w:t xml:space="preserve"> 2016).</w:t>
      </w:r>
      <w:r w:rsidR="00B56464">
        <w:t xml:space="preserve"> </w:t>
      </w:r>
    </w:p>
    <w:p w14:paraId="65692827" w14:textId="3C235906" w:rsidR="000612D3" w:rsidRDefault="00903C7E" w:rsidP="00B65EAD">
      <w:pPr>
        <w:spacing w:after="0" w:line="480" w:lineRule="auto"/>
        <w:jc w:val="both"/>
        <w:rPr>
          <w:b/>
          <w:sz w:val="24"/>
        </w:rPr>
      </w:pPr>
      <w:r>
        <w:t>Also, t</w:t>
      </w:r>
      <w:r w:rsidR="00430670">
        <w:t xml:space="preserve">he application of 2 local QSARs was investigated for </w:t>
      </w:r>
      <w:r>
        <w:t xml:space="preserve">substances containing an aromatic azo bond, with the goal of priority ranking refinement. More specifically, aromatic azo substances positive in </w:t>
      </w:r>
      <w:r w:rsidR="00691F44">
        <w:t xml:space="preserve">one or two of </w:t>
      </w:r>
      <w:r>
        <w:t xml:space="preserve">the additional QSAR tools </w:t>
      </w:r>
      <w:r w:rsidR="00735032">
        <w:t>we</w:t>
      </w:r>
      <w:r>
        <w:t xml:space="preserve">re considered of higher priority than those predicted negative by both. </w:t>
      </w:r>
      <w:r w:rsidR="00430670">
        <w:t xml:space="preserve"> </w:t>
      </w:r>
      <w:r w:rsidR="000612D3">
        <w:rPr>
          <w:b/>
          <w:sz w:val="24"/>
        </w:rPr>
        <w:br w:type="page"/>
      </w:r>
    </w:p>
    <w:p w14:paraId="0E3648C5" w14:textId="77777777" w:rsidR="00305A0C" w:rsidRDefault="00305A0C" w:rsidP="00B65EAD">
      <w:pPr>
        <w:spacing w:after="0" w:line="480" w:lineRule="auto"/>
        <w:jc w:val="both"/>
        <w:rPr>
          <w:b/>
          <w:sz w:val="24"/>
        </w:rPr>
      </w:pPr>
      <w:r w:rsidRPr="00001806">
        <w:rPr>
          <w:b/>
          <w:sz w:val="24"/>
        </w:rPr>
        <w:lastRenderedPageBreak/>
        <w:t>3. Results</w:t>
      </w:r>
      <w:r w:rsidR="0015112C">
        <w:rPr>
          <w:b/>
          <w:sz w:val="24"/>
        </w:rPr>
        <w:t xml:space="preserve"> and discussion</w:t>
      </w:r>
    </w:p>
    <w:p w14:paraId="539276EC" w14:textId="77777777" w:rsidR="0079725C" w:rsidRDefault="0079725C" w:rsidP="00B65EAD">
      <w:pPr>
        <w:spacing w:after="0" w:line="480" w:lineRule="auto"/>
        <w:jc w:val="both"/>
        <w:rPr>
          <w:b/>
        </w:rPr>
      </w:pPr>
      <w:r w:rsidRPr="0079725C">
        <w:rPr>
          <w:b/>
        </w:rPr>
        <w:t>3.1. Individual models</w:t>
      </w:r>
    </w:p>
    <w:p w14:paraId="34E90EE8" w14:textId="7AD0DE3F" w:rsidR="006F08CC" w:rsidRDefault="00131918" w:rsidP="00B65EAD">
      <w:pPr>
        <w:spacing w:after="0" w:line="480" w:lineRule="auto"/>
        <w:jc w:val="both"/>
      </w:pPr>
      <w:r>
        <w:t xml:space="preserve">An overview of the </w:t>
      </w:r>
      <w:r w:rsidR="005F61E6">
        <w:t>prediction outcome of the 1723</w:t>
      </w:r>
      <w:r>
        <w:t xml:space="preserve"> study substances as a function of (Q)SAR </w:t>
      </w:r>
      <w:r w:rsidR="00E13822">
        <w:t>system</w:t>
      </w:r>
      <w:r>
        <w:t xml:space="preserve"> </w:t>
      </w:r>
      <w:r w:rsidR="004C5E61">
        <w:t xml:space="preserve">used </w:t>
      </w:r>
      <w:r>
        <w:t xml:space="preserve">is presented in </w:t>
      </w:r>
      <w:r w:rsidRPr="00F33303">
        <w:rPr>
          <w:b/>
        </w:rPr>
        <w:t xml:space="preserve">Figure </w:t>
      </w:r>
      <w:r w:rsidR="00E871E9">
        <w:rPr>
          <w:b/>
        </w:rPr>
        <w:t>2</w:t>
      </w:r>
      <w:r>
        <w:t xml:space="preserve">. </w:t>
      </w:r>
      <w:r w:rsidR="00BB6314">
        <w:t>A</w:t>
      </w:r>
      <w:r w:rsidR="0012299A">
        <w:t xml:space="preserve">t least </w:t>
      </w:r>
      <w:r w:rsidR="009838E9">
        <w:t>229</w:t>
      </w:r>
      <w:r w:rsidR="00367068">
        <w:t xml:space="preserve"> </w:t>
      </w:r>
      <w:r w:rsidR="0012299A">
        <w:t xml:space="preserve">up to </w:t>
      </w:r>
      <w:r w:rsidR="00367068">
        <w:t xml:space="preserve">366 </w:t>
      </w:r>
      <w:r w:rsidR="0012299A">
        <w:t xml:space="preserve">of the substances are predicted mutagenic </w:t>
      </w:r>
      <w:r w:rsidR="0012299A" w:rsidRPr="0012299A">
        <w:rPr>
          <w:i/>
        </w:rPr>
        <w:t>in silico</w:t>
      </w:r>
      <w:r w:rsidR="0012299A">
        <w:t xml:space="preserve">. </w:t>
      </w:r>
      <w:r w:rsidR="00BB6314">
        <w:t>It must</w:t>
      </w:r>
      <w:r w:rsidR="0012299A" w:rsidRPr="006F08CC">
        <w:t xml:space="preserve"> </w:t>
      </w:r>
      <w:r w:rsidR="00085BD7" w:rsidRPr="006F08CC">
        <w:t>be noted</w:t>
      </w:r>
      <w:r w:rsidR="00FC3A3E">
        <w:t xml:space="preserve"> </w:t>
      </w:r>
      <w:r w:rsidR="00085BD7" w:rsidRPr="006F08CC">
        <w:t>that</w:t>
      </w:r>
      <w:r w:rsidR="00FC3A3E">
        <w:t>,</w:t>
      </w:r>
      <w:r w:rsidR="00085BD7">
        <w:t xml:space="preserve"> in the case of VEGA</w:t>
      </w:r>
      <w:r w:rsidR="00FC3A3E">
        <w:t>,</w:t>
      </w:r>
      <w:r w:rsidR="00085BD7">
        <w:t xml:space="preserve"> </w:t>
      </w:r>
      <w:r w:rsidR="00664C47" w:rsidRPr="00AF7717">
        <w:t xml:space="preserve">most of </w:t>
      </w:r>
      <w:r w:rsidR="00085BD7" w:rsidRPr="00AF7717">
        <w:t xml:space="preserve">the </w:t>
      </w:r>
      <w:r w:rsidR="0012275D" w:rsidRPr="00AF7717">
        <w:t xml:space="preserve">substances </w:t>
      </w:r>
      <w:r w:rsidR="00496F80" w:rsidRPr="00AF7717">
        <w:t>(758)</w:t>
      </w:r>
      <w:r w:rsidR="00085BD7" w:rsidRPr="00AF7717">
        <w:t xml:space="preserve"> </w:t>
      </w:r>
      <w:r w:rsidR="00F140DF" w:rsidRPr="00AF7717">
        <w:t>are</w:t>
      </w:r>
      <w:r w:rsidR="0012275D" w:rsidRPr="00AF7717">
        <w:t xml:space="preserve"> outside domain</w:t>
      </w:r>
      <w:r w:rsidR="00085BD7" w:rsidRPr="00AF7717">
        <w:t xml:space="preserve"> when applying the ADI requirements set out in 2.</w:t>
      </w:r>
      <w:r w:rsidR="001C2F3B" w:rsidRPr="00AF7717">
        <w:t>2</w:t>
      </w:r>
      <w:r w:rsidR="00085BD7" w:rsidRPr="00AF7717">
        <w:t xml:space="preserve">. </w:t>
      </w:r>
      <w:r w:rsidR="004C0B07" w:rsidRPr="00AF7717">
        <w:t>This is due to the differences between the prediction methods</w:t>
      </w:r>
      <w:r w:rsidR="00F140DF" w:rsidRPr="00AF7717">
        <w:t xml:space="preserve"> and applicability domains</w:t>
      </w:r>
      <w:r w:rsidR="002B086E" w:rsidRPr="00AF7717">
        <w:t xml:space="preserve"> of the 3 individual VEGA tools</w:t>
      </w:r>
      <w:r w:rsidR="00F140DF" w:rsidRPr="00AF7717">
        <w:t xml:space="preserve"> constituting the consensus model</w:t>
      </w:r>
      <w:r w:rsidR="002B086E" w:rsidRPr="00AF7717">
        <w:t xml:space="preserve">. </w:t>
      </w:r>
      <w:r w:rsidR="00F140DF" w:rsidRPr="00AF7717">
        <w:t xml:space="preserve">Apparently, </w:t>
      </w:r>
      <w:r w:rsidR="00445CC9">
        <w:t>several</w:t>
      </w:r>
      <w:r w:rsidR="002E774F" w:rsidRPr="00AF7717">
        <w:t xml:space="preserve"> </w:t>
      </w:r>
      <w:r w:rsidR="00F140DF" w:rsidRPr="00AF7717">
        <w:t>substances</w:t>
      </w:r>
      <w:r w:rsidR="002E774F" w:rsidRPr="00AF7717">
        <w:t xml:space="preserve"> </w:t>
      </w:r>
      <w:r w:rsidR="00F140DF" w:rsidRPr="00AF7717">
        <w:t xml:space="preserve">do not </w:t>
      </w:r>
      <w:r w:rsidR="00AF7717">
        <w:t>reach</w:t>
      </w:r>
      <w:r w:rsidR="00F140DF" w:rsidRPr="00AF7717">
        <w:t xml:space="preserve"> an ADI ≥0.75 in all 3 models in order to consider them as </w:t>
      </w:r>
      <w:r w:rsidR="002E774F" w:rsidRPr="00AF7717">
        <w:t>negati</w:t>
      </w:r>
      <w:r w:rsidR="00445CC9">
        <w:t>ve</w:t>
      </w:r>
      <w:r w:rsidR="00F140DF" w:rsidRPr="00AF7717">
        <w:t xml:space="preserve"> </w:t>
      </w:r>
      <w:r w:rsidR="002E774F" w:rsidRPr="00AF7717">
        <w:t xml:space="preserve">in the current approach </w:t>
      </w:r>
      <w:r w:rsidR="00F140DF" w:rsidRPr="00AF7717">
        <w:t>(</w:t>
      </w:r>
      <w:r w:rsidR="00F140DF" w:rsidRPr="00AF7717">
        <w:rPr>
          <w:b/>
        </w:rPr>
        <w:t>Table 2</w:t>
      </w:r>
      <w:r w:rsidR="00F140DF" w:rsidRPr="00AF7717">
        <w:t>).</w:t>
      </w:r>
      <w:r w:rsidR="002B086E">
        <w:t xml:space="preserve"> </w:t>
      </w:r>
      <w:r w:rsidR="006F08CC">
        <w:t xml:space="preserve">For these substances, </w:t>
      </w:r>
      <w:r w:rsidR="00163B92">
        <w:t xml:space="preserve">together with the undefined substances in Derek and Sarah, </w:t>
      </w:r>
      <w:r w:rsidR="006F08CC">
        <w:t>a positive outcome cannot be ruled out.</w:t>
      </w:r>
    </w:p>
    <w:p w14:paraId="6BDDD1CD" w14:textId="77777777" w:rsidR="00F140DF" w:rsidRDefault="00F140DF" w:rsidP="00B65EAD">
      <w:pPr>
        <w:spacing w:after="0" w:line="480" w:lineRule="auto"/>
        <w:jc w:val="both"/>
      </w:pPr>
    </w:p>
    <w:p w14:paraId="6BEDA595" w14:textId="77777777" w:rsidR="00C44D45" w:rsidRPr="001755EC" w:rsidRDefault="001755EC" w:rsidP="00B65EAD">
      <w:pPr>
        <w:spacing w:after="0" w:line="480" w:lineRule="auto"/>
        <w:jc w:val="both"/>
      </w:pPr>
      <w:r>
        <w:rPr>
          <w:noProof/>
          <w:lang w:eastAsia="en-GB"/>
        </w:rPr>
        <w:drawing>
          <wp:inline distT="0" distB="0" distL="0" distR="0" wp14:anchorId="0CA0C20D" wp14:editId="0E412406">
            <wp:extent cx="5076497" cy="3531476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D24B1">
        <w:t xml:space="preserve">    </w:t>
      </w:r>
    </w:p>
    <w:p w14:paraId="36F59CCA" w14:textId="77777777" w:rsidR="00AF7717" w:rsidRDefault="00085BD7" w:rsidP="00AF7717">
      <w:pPr>
        <w:spacing w:after="0" w:line="480" w:lineRule="auto"/>
        <w:ind w:left="1440" w:hanging="1440"/>
        <w:jc w:val="both"/>
        <w:rPr>
          <w:sz w:val="20"/>
        </w:rPr>
      </w:pPr>
      <w:r>
        <w:rPr>
          <w:sz w:val="20"/>
        </w:rPr>
        <w:t xml:space="preserve">Figure </w:t>
      </w:r>
      <w:r w:rsidR="00E871E9">
        <w:rPr>
          <w:sz w:val="20"/>
        </w:rPr>
        <w:t>2</w:t>
      </w:r>
      <w:r>
        <w:rPr>
          <w:sz w:val="20"/>
        </w:rPr>
        <w:t>.</w:t>
      </w:r>
      <w:r w:rsidR="006C2634">
        <w:rPr>
          <w:sz w:val="20"/>
        </w:rPr>
        <w:t xml:space="preserve"> </w:t>
      </w:r>
      <w:r>
        <w:rPr>
          <w:sz w:val="20"/>
        </w:rPr>
        <w:t>Number of substances predi</w:t>
      </w:r>
      <w:r w:rsidR="006C2634">
        <w:rPr>
          <w:sz w:val="20"/>
        </w:rPr>
        <w:t>cted negative (green), positive</w:t>
      </w:r>
      <w:r w:rsidR="00AF7717">
        <w:rPr>
          <w:sz w:val="20"/>
        </w:rPr>
        <w:t xml:space="preserve"> </w:t>
      </w:r>
      <w:r>
        <w:rPr>
          <w:sz w:val="20"/>
        </w:rPr>
        <w:t xml:space="preserve">(red) and </w:t>
      </w:r>
      <w:r w:rsidR="000E0F5D">
        <w:rPr>
          <w:sz w:val="20"/>
        </w:rPr>
        <w:t>undefined</w:t>
      </w:r>
      <w:r>
        <w:rPr>
          <w:sz w:val="20"/>
        </w:rPr>
        <w:t xml:space="preserve"> (grey) for </w:t>
      </w:r>
      <w:r w:rsidR="00AF7717">
        <w:rPr>
          <w:sz w:val="20"/>
        </w:rPr>
        <w:t xml:space="preserve">Ames </w:t>
      </w:r>
    </w:p>
    <w:p w14:paraId="7E369D6C" w14:textId="078CC8D4" w:rsidR="006419EB" w:rsidRDefault="00085BD7" w:rsidP="00AF7717">
      <w:pPr>
        <w:spacing w:after="0" w:line="480" w:lineRule="auto"/>
        <w:ind w:left="1440" w:hanging="720"/>
        <w:jc w:val="both"/>
        <w:rPr>
          <w:sz w:val="20"/>
        </w:rPr>
      </w:pPr>
      <w:r>
        <w:rPr>
          <w:sz w:val="20"/>
        </w:rPr>
        <w:t>mutagenicity in a series of (Q)SAR tools.</w:t>
      </w:r>
    </w:p>
    <w:p w14:paraId="104230DF" w14:textId="77777777" w:rsidR="00085BD7" w:rsidRDefault="00085BD7" w:rsidP="00B65EAD">
      <w:pPr>
        <w:spacing w:after="0" w:line="480" w:lineRule="auto"/>
        <w:jc w:val="both"/>
        <w:rPr>
          <w:b/>
        </w:rPr>
      </w:pPr>
    </w:p>
    <w:p w14:paraId="56599F92" w14:textId="7755B48D" w:rsidR="00CA5D59" w:rsidRDefault="00AB363F" w:rsidP="00CB6839">
      <w:pPr>
        <w:spacing w:after="0" w:line="480" w:lineRule="auto"/>
        <w:jc w:val="both"/>
      </w:pPr>
      <w:r>
        <w:lastRenderedPageBreak/>
        <w:t>T</w:t>
      </w:r>
      <w:r w:rsidR="000F2D18" w:rsidRPr="000F2D18">
        <w:t xml:space="preserve">he positive rate is most divergent between Toxtree and Sarah. </w:t>
      </w:r>
      <w:r w:rsidR="000F1B5E">
        <w:t>Interestingly, t</w:t>
      </w:r>
      <w:r w:rsidR="000F2D18" w:rsidRPr="000F2D18">
        <w:t>he</w:t>
      </w:r>
      <w:r w:rsidR="0018642B">
        <w:t>se</w:t>
      </w:r>
      <w:r w:rsidR="000F2D18" w:rsidRPr="000F2D18">
        <w:t xml:space="preserve"> tools are at the same time most dissimilar with regards to their prediction mechanism: Toxtree is a </w:t>
      </w:r>
      <w:r w:rsidR="00725241">
        <w:t xml:space="preserve">generic </w:t>
      </w:r>
      <w:r w:rsidR="000F2D18" w:rsidRPr="000F2D18">
        <w:t>rule-based SAR model without the possibility of AD determination, whereas Sarah is a</w:t>
      </w:r>
      <w:r w:rsidR="00FC3A3E">
        <w:t xml:space="preserve"> statistically-based QSAR model</w:t>
      </w:r>
      <w:r w:rsidR="000F2D18" w:rsidRPr="000F2D18">
        <w:t xml:space="preserve"> in which each compound is checked for being in- or outside </w:t>
      </w:r>
      <w:r w:rsidR="00725241">
        <w:t>a predefined Ames mutagenicity</w:t>
      </w:r>
      <w:r w:rsidR="000F2D18" w:rsidRPr="000F2D18">
        <w:t xml:space="preserve"> AD.</w:t>
      </w:r>
      <w:r w:rsidR="000F1B5E">
        <w:t xml:space="preserve"> </w:t>
      </w:r>
      <w:r w:rsidR="00F33303" w:rsidRPr="00F33303">
        <w:rPr>
          <w:b/>
        </w:rPr>
        <w:t>Figure 2</w:t>
      </w:r>
      <w:r w:rsidR="00F33303">
        <w:t xml:space="preserve"> also shows that </w:t>
      </w:r>
      <w:r w:rsidR="00CB6839">
        <w:t>the number</w:t>
      </w:r>
      <w:r w:rsidR="00DA7661">
        <w:t>s</w:t>
      </w:r>
      <w:r w:rsidR="00CB6839">
        <w:t xml:space="preserve"> of positives </w:t>
      </w:r>
      <w:r w:rsidR="00697B71">
        <w:t>found in the individual models</w:t>
      </w:r>
      <w:r w:rsidR="000F1B5E">
        <w:t xml:space="preserve"> </w:t>
      </w:r>
      <w:r w:rsidR="00697B71">
        <w:t>are</w:t>
      </w:r>
      <w:r w:rsidR="00CB6839">
        <w:t xml:space="preserve"> very similar in Toxtree (366) and VEGA (350) on the one hand, a</w:t>
      </w:r>
      <w:r w:rsidR="009838E9">
        <w:t>nd in Derek (255) and Sarah (229</w:t>
      </w:r>
      <w:r w:rsidR="00CB6839">
        <w:t xml:space="preserve">) on the other hand. </w:t>
      </w:r>
      <w:r w:rsidR="00FC3A3E">
        <w:t>This suggests that there might be</w:t>
      </w:r>
      <w:r w:rsidR="00535E91">
        <w:t xml:space="preserve"> a </w:t>
      </w:r>
      <w:r w:rsidR="008038C4">
        <w:t xml:space="preserve">substantial overlap </w:t>
      </w:r>
      <w:r w:rsidR="00535E91">
        <w:t xml:space="preserve">in the compounds predicted positive </w:t>
      </w:r>
      <w:r w:rsidR="00CF1D28">
        <w:t>by</w:t>
      </w:r>
      <w:r w:rsidR="000F1B5E">
        <w:t xml:space="preserve"> Toxt</w:t>
      </w:r>
      <w:r w:rsidR="00535E91">
        <w:t>ree and VEGA</w:t>
      </w:r>
      <w:r w:rsidR="00FC3A3E">
        <w:t>,</w:t>
      </w:r>
      <w:r w:rsidR="00535E91">
        <w:t xml:space="preserve"> and </w:t>
      </w:r>
      <w:r w:rsidR="00CF1D28">
        <w:t xml:space="preserve">by </w:t>
      </w:r>
      <w:r w:rsidR="00535E91">
        <w:t>Derek and Sarah</w:t>
      </w:r>
      <w:r w:rsidR="00EA071E">
        <w:t>, respectively</w:t>
      </w:r>
      <w:r w:rsidR="000F1B5E">
        <w:t xml:space="preserve">. </w:t>
      </w:r>
      <w:r w:rsidR="00FC3A3E">
        <w:t>As such, we found that f</w:t>
      </w:r>
      <w:r w:rsidR="000F1B5E">
        <w:t>or Toxt</w:t>
      </w:r>
      <w:r w:rsidR="00535E91">
        <w:t>ree and VEGA</w:t>
      </w:r>
      <w:r w:rsidR="008038C4">
        <w:t xml:space="preserve">, </w:t>
      </w:r>
      <w:r w:rsidR="000F1B5E">
        <w:t>269</w:t>
      </w:r>
      <w:r w:rsidR="00CB6839" w:rsidRPr="00CB6839">
        <w:t xml:space="preserve"> </w:t>
      </w:r>
      <w:r w:rsidR="00AC6F05">
        <w:t xml:space="preserve">of </w:t>
      </w:r>
      <w:r w:rsidR="00C32930">
        <w:t>the</w:t>
      </w:r>
      <w:r w:rsidR="00CB6839" w:rsidRPr="00CB6839">
        <w:t xml:space="preserve"> substances</w:t>
      </w:r>
      <w:r w:rsidR="008038C4">
        <w:t xml:space="preserve"> were </w:t>
      </w:r>
      <w:r w:rsidR="00CF1D28">
        <w:t>overlapping</w:t>
      </w:r>
      <w:r w:rsidR="00DA113C" w:rsidRPr="00DA113C">
        <w:t xml:space="preserve">. The fact that VEGA has implemented the </w:t>
      </w:r>
      <w:r w:rsidR="00895EC1">
        <w:t>Toxtree</w:t>
      </w:r>
      <w:r w:rsidR="00DA113C" w:rsidRPr="00DA113C">
        <w:t xml:space="preserve"> model</w:t>
      </w:r>
      <w:r w:rsidR="002E6D25">
        <w:t xml:space="preserve"> </w:t>
      </w:r>
      <w:r w:rsidR="00DA113C" w:rsidRPr="00DA113C">
        <w:t>contribute</w:t>
      </w:r>
      <w:r w:rsidR="00EA071E">
        <w:t>s to this</w:t>
      </w:r>
      <w:r w:rsidR="00DA113C">
        <w:t xml:space="preserve"> overlap. For</w:t>
      </w:r>
      <w:r w:rsidR="008038C4">
        <w:t xml:space="preserve"> Derek</w:t>
      </w:r>
      <w:r w:rsidR="00C32930">
        <w:t xml:space="preserve"> and </w:t>
      </w:r>
      <w:r w:rsidR="008038C4">
        <w:t>Sarah</w:t>
      </w:r>
      <w:r w:rsidR="00CF1D28">
        <w:t>, the overlap</w:t>
      </w:r>
      <w:r w:rsidR="00C32930">
        <w:t xml:space="preserve"> was limited to </w:t>
      </w:r>
      <w:r w:rsidR="009838E9">
        <w:t>119</w:t>
      </w:r>
      <w:r w:rsidR="008038C4">
        <w:t xml:space="preserve"> </w:t>
      </w:r>
      <w:r w:rsidR="00FC3A3E">
        <w:t xml:space="preserve">compounds </w:t>
      </w:r>
      <w:r w:rsidR="008038C4">
        <w:t>(</w:t>
      </w:r>
      <w:r w:rsidR="008038C4" w:rsidRPr="00B86B83">
        <w:rPr>
          <w:b/>
        </w:rPr>
        <w:t>Table 3</w:t>
      </w:r>
      <w:r w:rsidR="008038C4" w:rsidRPr="00D52815">
        <w:t>).</w:t>
      </w:r>
      <w:r w:rsidR="00AC6F05" w:rsidRPr="00D52815">
        <w:t xml:space="preserve"> </w:t>
      </w:r>
      <w:r w:rsidR="00DD655E">
        <w:t xml:space="preserve">This </w:t>
      </w:r>
      <w:r w:rsidR="00640B45">
        <w:t>observation demonstrate</w:t>
      </w:r>
      <w:r w:rsidR="00DD655E">
        <w:t xml:space="preserve">s that the different methods lead to </w:t>
      </w:r>
      <w:r w:rsidR="00EA071E">
        <w:t>a different outcome</w:t>
      </w:r>
      <w:r w:rsidR="00DD655E">
        <w:t xml:space="preserve"> for </w:t>
      </w:r>
      <w:r w:rsidR="00EA071E">
        <w:t>several</w:t>
      </w:r>
      <w:r w:rsidR="00DD655E">
        <w:t xml:space="preserve"> compounds. </w:t>
      </w:r>
      <w:r w:rsidR="00640B45">
        <w:t>D</w:t>
      </w:r>
      <w:r w:rsidR="00DD655E">
        <w:t xml:space="preserve">etailed examination of the non-overlapping compounds with contradictory prediction results </w:t>
      </w:r>
      <w:r w:rsidR="00F33303">
        <w:t xml:space="preserve">can therefore </w:t>
      </w:r>
      <w:r w:rsidR="00DD655E">
        <w:t xml:space="preserve">reveal </w:t>
      </w:r>
      <w:r w:rsidR="00B31F84">
        <w:t xml:space="preserve">chemical classes for which Ames mutagenicity prediction </w:t>
      </w:r>
      <w:r w:rsidR="00F33303">
        <w:t xml:space="preserve">needs </w:t>
      </w:r>
      <w:r w:rsidR="00640B45">
        <w:t>improvement</w:t>
      </w:r>
      <w:r w:rsidR="004B60E3">
        <w:t xml:space="preserve">. </w:t>
      </w:r>
      <w:r w:rsidR="00C6132A">
        <w:t>Evidently</w:t>
      </w:r>
      <w:r w:rsidR="00B31F84">
        <w:t xml:space="preserve">, if a substance is positive in multiple tools </w:t>
      </w:r>
      <w:r w:rsidR="00890A50">
        <w:t xml:space="preserve">- </w:t>
      </w:r>
      <w:r w:rsidR="00B31F84">
        <w:t xml:space="preserve">based on </w:t>
      </w:r>
      <w:r w:rsidR="00F33303">
        <w:t>various</w:t>
      </w:r>
      <w:r w:rsidR="00B31F84">
        <w:t xml:space="preserve"> </w:t>
      </w:r>
      <w:r w:rsidR="00983475">
        <w:t xml:space="preserve">data sets and subsequent </w:t>
      </w:r>
      <w:r w:rsidR="00B31F84">
        <w:t xml:space="preserve">prediction </w:t>
      </w:r>
      <w:r w:rsidR="00B31F84" w:rsidRPr="00990312">
        <w:t>rules</w:t>
      </w:r>
      <w:r w:rsidR="00D84CCC" w:rsidRPr="00990312">
        <w:t xml:space="preserve"> </w:t>
      </w:r>
      <w:r w:rsidR="00890A50" w:rsidRPr="00990312">
        <w:t>-</w:t>
      </w:r>
      <w:r w:rsidR="00983475" w:rsidRPr="00990312">
        <w:t xml:space="preserve"> this </w:t>
      </w:r>
      <w:r w:rsidR="00C72A21" w:rsidRPr="00990312">
        <w:t xml:space="preserve">could be expected to </w:t>
      </w:r>
      <w:r w:rsidR="00D84CCC" w:rsidRPr="00990312">
        <w:t>i</w:t>
      </w:r>
      <w:r w:rsidR="00E273A8" w:rsidRPr="00990312">
        <w:t>mpl</w:t>
      </w:r>
      <w:r w:rsidR="00E23B87" w:rsidRPr="00990312">
        <w:t>y</w:t>
      </w:r>
      <w:r w:rsidR="00983475">
        <w:t xml:space="preserve"> </w:t>
      </w:r>
      <w:r w:rsidR="00D84CCC">
        <w:t>solid</w:t>
      </w:r>
      <w:r w:rsidR="00983475">
        <w:t xml:space="preserve"> reasoning</w:t>
      </w:r>
      <w:r w:rsidR="00DC1793">
        <w:t>, in turn</w:t>
      </w:r>
      <w:r w:rsidR="00983475">
        <w:t xml:space="preserve"> </w:t>
      </w:r>
      <w:r w:rsidR="00DC1793">
        <w:t>associated with increased pred</w:t>
      </w:r>
      <w:r w:rsidR="00983475">
        <w:t xml:space="preserve">iction confidence </w:t>
      </w:r>
      <w:r w:rsidR="00DC1793">
        <w:t>for</w:t>
      </w:r>
      <w:r w:rsidR="003D415C">
        <w:t xml:space="preserve"> </w:t>
      </w:r>
      <w:r w:rsidR="00B31F84">
        <w:t>experimental mutagenicity.</w:t>
      </w:r>
      <w:r w:rsidR="00C6132A">
        <w:t xml:space="preserve"> Therefore, substances positive in a variety of (Q)SAR models are</w:t>
      </w:r>
      <w:r w:rsidR="00F33303">
        <w:t xml:space="preserve"> of higher</w:t>
      </w:r>
      <w:r w:rsidR="00C6132A">
        <w:t xml:space="preserve"> concern.</w:t>
      </w:r>
    </w:p>
    <w:p w14:paraId="60F4F563" w14:textId="77777777" w:rsidR="00EB2F1C" w:rsidRDefault="00EB2F1C" w:rsidP="00CB6839">
      <w:pPr>
        <w:spacing w:after="0" w:line="480" w:lineRule="auto"/>
        <w:jc w:val="both"/>
      </w:pPr>
    </w:p>
    <w:p w14:paraId="1BDABB2A" w14:textId="77777777" w:rsidR="00EB2F1C" w:rsidRDefault="00EB2F1C" w:rsidP="00CB6839">
      <w:pPr>
        <w:spacing w:after="0" w:line="480" w:lineRule="auto"/>
        <w:jc w:val="both"/>
      </w:pPr>
    </w:p>
    <w:p w14:paraId="65E363FE" w14:textId="77777777" w:rsidR="00EB2F1C" w:rsidRDefault="00EB2F1C" w:rsidP="00CB6839">
      <w:pPr>
        <w:spacing w:after="0" w:line="480" w:lineRule="auto"/>
        <w:jc w:val="both"/>
      </w:pPr>
    </w:p>
    <w:p w14:paraId="6CE64E24" w14:textId="77777777" w:rsidR="00EB2F1C" w:rsidRDefault="00EB2F1C" w:rsidP="00CB6839">
      <w:pPr>
        <w:spacing w:after="0" w:line="480" w:lineRule="auto"/>
        <w:jc w:val="both"/>
      </w:pPr>
    </w:p>
    <w:p w14:paraId="4C2A6561" w14:textId="77777777" w:rsidR="00EB2F1C" w:rsidRDefault="00EB2F1C" w:rsidP="00CB6839">
      <w:pPr>
        <w:spacing w:after="0" w:line="480" w:lineRule="auto"/>
        <w:jc w:val="both"/>
      </w:pPr>
    </w:p>
    <w:p w14:paraId="02DD23B3" w14:textId="77777777" w:rsidR="00EB2F1C" w:rsidRDefault="00EB2F1C" w:rsidP="00CB6839">
      <w:pPr>
        <w:spacing w:after="0" w:line="480" w:lineRule="auto"/>
        <w:jc w:val="both"/>
      </w:pPr>
    </w:p>
    <w:p w14:paraId="55B3B6CF" w14:textId="77777777" w:rsidR="00EB2F1C" w:rsidRDefault="00EB2F1C" w:rsidP="00CB6839">
      <w:pPr>
        <w:spacing w:after="0" w:line="480" w:lineRule="auto"/>
        <w:jc w:val="both"/>
      </w:pPr>
    </w:p>
    <w:p w14:paraId="4E2CDE14" w14:textId="77777777" w:rsidR="00E23B87" w:rsidRDefault="00E23B87" w:rsidP="00CB6839">
      <w:pPr>
        <w:spacing w:after="0" w:line="480" w:lineRule="auto"/>
        <w:jc w:val="both"/>
      </w:pPr>
    </w:p>
    <w:p w14:paraId="2A508F97" w14:textId="77777777" w:rsidR="00E23B87" w:rsidRDefault="00E23B87" w:rsidP="00CB6839">
      <w:pPr>
        <w:spacing w:after="0" w:line="480" w:lineRule="auto"/>
        <w:jc w:val="both"/>
      </w:pPr>
    </w:p>
    <w:tbl>
      <w:tblPr>
        <w:tblStyle w:val="TableGrid"/>
        <w:tblW w:w="67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284"/>
        <w:gridCol w:w="566"/>
        <w:gridCol w:w="851"/>
        <w:gridCol w:w="992"/>
        <w:gridCol w:w="1134"/>
        <w:gridCol w:w="851"/>
      </w:tblGrid>
      <w:tr w:rsidR="003025F2" w:rsidRPr="000B70A2" w14:paraId="1FC3A5AC" w14:textId="77777777" w:rsidTr="00F774A9">
        <w:trPr>
          <w:trHeight w:val="284"/>
        </w:trPr>
        <w:tc>
          <w:tcPr>
            <w:tcW w:w="11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60BD3" w14:textId="77777777" w:rsidR="003025F2" w:rsidRDefault="003025F2" w:rsidP="00F774A9">
            <w:pPr>
              <w:pStyle w:val="ListParagraph"/>
              <w:spacing w:line="480" w:lineRule="auto"/>
              <w:ind w:left="0"/>
              <w:rPr>
                <w:sz w:val="20"/>
                <w:szCs w:val="20"/>
                <w:u w:val="single"/>
              </w:rPr>
            </w:pPr>
          </w:p>
          <w:p w14:paraId="37510517" w14:textId="77777777" w:rsidR="00EB2F1C" w:rsidRPr="00C61BCD" w:rsidRDefault="00EB2F1C" w:rsidP="00F774A9">
            <w:pPr>
              <w:pStyle w:val="ListParagraph"/>
              <w:spacing w:line="480" w:lineRule="auto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A46" w14:textId="77777777" w:rsidR="003025F2" w:rsidRPr="00BB1E79" w:rsidRDefault="003025F2" w:rsidP="00F774A9">
            <w:pPr>
              <w:pStyle w:val="ListParagraph"/>
              <w:spacing w:line="48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B1E79">
              <w:rPr>
                <w:b/>
                <w:sz w:val="20"/>
                <w:szCs w:val="20"/>
              </w:rPr>
              <w:t>Battery of 2 tools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BDE1" w14:textId="77777777" w:rsidR="003025F2" w:rsidRPr="00BB1E79" w:rsidRDefault="003025F2" w:rsidP="00F774A9">
            <w:pPr>
              <w:pStyle w:val="ListParagraph"/>
              <w:spacing w:line="480" w:lineRule="auto"/>
              <w:ind w:left="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Battery of 3 tools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14:paraId="23F24166" w14:textId="77777777" w:rsidR="003025F2" w:rsidRDefault="003025F2" w:rsidP="00F774A9">
            <w:pPr>
              <w:pStyle w:val="ListParagraph"/>
              <w:spacing w:line="480" w:lineRule="auto"/>
              <w:ind w:left="0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025F2" w:rsidRPr="000B70A2" w14:paraId="34AA7E34" w14:textId="77777777" w:rsidTr="00F774A9">
        <w:trPr>
          <w:trHeight w:val="2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7321" w14:textId="77777777" w:rsidR="003025F2" w:rsidRPr="00BB1E79" w:rsidRDefault="003025F2" w:rsidP="00F774A9">
            <w:pPr>
              <w:pStyle w:val="ListParagraph"/>
              <w:spacing w:line="48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(Q)SAR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82F2" w14:textId="77777777" w:rsidR="003025F2" w:rsidRPr="00BB1E79" w:rsidRDefault="003025F2" w:rsidP="00F774A9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BB1E79">
              <w:rPr>
                <w:sz w:val="20"/>
                <w:szCs w:val="20"/>
              </w:rPr>
              <w:t>VEGA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43C1B" w14:textId="77777777" w:rsidR="003025F2" w:rsidRPr="00BB1E79" w:rsidRDefault="003025F2" w:rsidP="00F774A9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BB1E79">
              <w:rPr>
                <w:sz w:val="20"/>
                <w:szCs w:val="20"/>
              </w:rPr>
              <w:t>Derek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2A882" w14:textId="77777777" w:rsidR="003025F2" w:rsidRPr="00BB1E79" w:rsidRDefault="003025F2" w:rsidP="00F774A9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BB1E79">
              <w:rPr>
                <w:sz w:val="20"/>
                <w:szCs w:val="20"/>
              </w:rPr>
              <w:t>Sarah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D574EC2" w14:textId="77777777" w:rsidR="003025F2" w:rsidRPr="00BB1E79" w:rsidRDefault="003025F2" w:rsidP="00F774A9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F8D" w14:textId="77777777" w:rsidR="003025F2" w:rsidRPr="00BB1E79" w:rsidRDefault="003025F2" w:rsidP="00F774A9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Toxtree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482B1A" w14:textId="77777777" w:rsidR="003025F2" w:rsidRPr="00BB1E79" w:rsidRDefault="003025F2" w:rsidP="00F774A9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3025F2" w:rsidRPr="000B70A2" w14:paraId="75B50E35" w14:textId="77777777" w:rsidTr="00F774A9">
        <w:trPr>
          <w:trHeight w:val="627"/>
        </w:trPr>
        <w:tc>
          <w:tcPr>
            <w:tcW w:w="1101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BB8711A" w14:textId="77777777" w:rsidR="003025F2" w:rsidRPr="000B70A2" w:rsidRDefault="003025F2" w:rsidP="00F774A9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0B70A2">
              <w:rPr>
                <w:sz w:val="20"/>
                <w:szCs w:val="20"/>
              </w:rPr>
              <w:t>Toxtree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3DD7AE9D" w14:textId="77777777" w:rsidR="003025F2" w:rsidRPr="000B70A2" w:rsidRDefault="003025F2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6529168" w14:textId="77777777" w:rsidR="003025F2" w:rsidRPr="000B70A2" w:rsidRDefault="003025F2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  <w:right w:val="dashSmallGap" w:sz="4" w:space="0" w:color="auto"/>
            </w:tcBorders>
            <w:vAlign w:val="center"/>
          </w:tcPr>
          <w:p w14:paraId="78A10A7C" w14:textId="77777777" w:rsidR="003025F2" w:rsidRPr="000B70A2" w:rsidRDefault="003025F2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FFFFFF" w:themeColor="background1"/>
            </w:tcBorders>
            <w:vAlign w:val="center"/>
          </w:tcPr>
          <w:p w14:paraId="551C30BB" w14:textId="77777777" w:rsidR="003025F2" w:rsidRPr="000B70A2" w:rsidRDefault="003025F2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5864F2D" w14:textId="77777777" w:rsidR="003025F2" w:rsidRPr="000B70A2" w:rsidRDefault="003025F2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7C9831A2" w14:textId="77777777" w:rsidR="003025F2" w:rsidRPr="000B70A2" w:rsidRDefault="003025F2" w:rsidP="00F774A9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025F2" w:rsidRPr="000B70A2" w14:paraId="428F79F2" w14:textId="77777777" w:rsidTr="00F774A9">
        <w:trPr>
          <w:trHeight w:val="568"/>
        </w:trPr>
        <w:tc>
          <w:tcPr>
            <w:tcW w:w="1101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14:paraId="3DEEF8EC" w14:textId="77777777" w:rsidR="003025F2" w:rsidRPr="000B70A2" w:rsidRDefault="003025F2" w:rsidP="00F774A9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0B70A2">
              <w:rPr>
                <w:sz w:val="20"/>
                <w:szCs w:val="20"/>
              </w:rPr>
              <w:t>VEGA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3D03E58" w14:textId="77777777" w:rsidR="003025F2" w:rsidRPr="000B70A2" w:rsidRDefault="003025F2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6F469D2" w14:textId="77777777" w:rsidR="003025F2" w:rsidRPr="000B70A2" w:rsidRDefault="003025F2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dashSmallGap" w:sz="4" w:space="0" w:color="auto"/>
            </w:tcBorders>
            <w:vAlign w:val="center"/>
          </w:tcPr>
          <w:p w14:paraId="598C6B70" w14:textId="77777777" w:rsidR="003025F2" w:rsidRPr="000B70A2" w:rsidRDefault="0047247F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auto"/>
            </w:tcBorders>
            <w:vAlign w:val="center"/>
          </w:tcPr>
          <w:p w14:paraId="7B0292D5" w14:textId="77777777" w:rsidR="003025F2" w:rsidRPr="000B70A2" w:rsidRDefault="003025F2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14:paraId="2CC7EBD8" w14:textId="77777777" w:rsidR="003025F2" w:rsidRPr="000B70A2" w:rsidRDefault="003025F2" w:rsidP="00F774A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14:paraId="0CAF77B1" w14:textId="77777777" w:rsidR="003025F2" w:rsidRPr="000B70A2" w:rsidRDefault="003025F2" w:rsidP="00F774A9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025F2" w:rsidRPr="000B70A2" w14:paraId="1277C66D" w14:textId="77777777" w:rsidTr="00F774A9">
        <w:trPr>
          <w:gridAfter w:val="1"/>
          <w:wAfter w:w="851" w:type="dxa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15461F0B" w14:textId="77777777" w:rsidR="003025F2" w:rsidRPr="000B70A2" w:rsidRDefault="003025F2" w:rsidP="00F774A9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0B70A2">
              <w:rPr>
                <w:sz w:val="20"/>
                <w:szCs w:val="20"/>
              </w:rPr>
              <w:t>Derek</w:t>
            </w:r>
          </w:p>
        </w:tc>
        <w:tc>
          <w:tcPr>
            <w:tcW w:w="992" w:type="dxa"/>
            <w:gridSpan w:val="2"/>
            <w:vAlign w:val="center"/>
          </w:tcPr>
          <w:p w14:paraId="3E21B293" w14:textId="77777777" w:rsidR="003025F2" w:rsidRPr="000B70A2" w:rsidRDefault="003025F2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DCC997B" w14:textId="77777777" w:rsidR="003025F2" w:rsidRPr="000B70A2" w:rsidRDefault="003025F2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1D28C2A0" w14:textId="77777777" w:rsidR="003025F2" w:rsidRPr="000B70A2" w:rsidRDefault="009838E9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14:paraId="3FBF3DC8" w14:textId="77777777" w:rsidR="003025F2" w:rsidRPr="000B70A2" w:rsidRDefault="003025F2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B1EA57" w14:textId="77777777" w:rsidR="003025F2" w:rsidRPr="000B70A2" w:rsidRDefault="003025F2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3025F2" w:rsidRPr="000B70A2" w14:paraId="71FE9FC2" w14:textId="77777777" w:rsidTr="00F774A9">
        <w:trPr>
          <w:trHeight w:val="396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040DA1" w14:textId="77777777" w:rsidR="003025F2" w:rsidRPr="000B70A2" w:rsidRDefault="003025F2" w:rsidP="00F774A9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0B70A2">
              <w:rPr>
                <w:sz w:val="20"/>
                <w:szCs w:val="20"/>
              </w:rPr>
              <w:t>Sarah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E8B9EA5" w14:textId="77777777" w:rsidR="003025F2" w:rsidRPr="000B70A2" w:rsidRDefault="003025F2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D5212E1" w14:textId="77777777" w:rsidR="003025F2" w:rsidRPr="000B70A2" w:rsidRDefault="003025F2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0AB3427" w14:textId="77777777" w:rsidR="003025F2" w:rsidRPr="000B70A2" w:rsidRDefault="003025F2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2FCA418" w14:textId="77777777" w:rsidR="003025F2" w:rsidRPr="000B70A2" w:rsidRDefault="009838E9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300416" w14:textId="77777777" w:rsidR="003025F2" w:rsidRPr="000B70A2" w:rsidRDefault="003025F2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991E3" w14:textId="77777777" w:rsidR="003025F2" w:rsidRPr="000B70A2" w:rsidRDefault="003025F2" w:rsidP="00F774A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025F2" w:rsidRPr="000B70A2" w14:paraId="6E25C465" w14:textId="77777777" w:rsidTr="00F774A9">
        <w:trPr>
          <w:gridBefore w:val="2"/>
          <w:wBefore w:w="1668" w:type="dxa"/>
        </w:trPr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14:paraId="5043BDB3" w14:textId="77777777" w:rsidR="003025F2" w:rsidRPr="000B70A2" w:rsidRDefault="003025F2" w:rsidP="00F774A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1D16F57" w14:textId="77777777" w:rsidR="003025F2" w:rsidRPr="000B70A2" w:rsidRDefault="003025F2" w:rsidP="00F774A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94B59" w14:textId="77777777" w:rsidR="003025F2" w:rsidRPr="000B70A2" w:rsidRDefault="003025F2" w:rsidP="00F774A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C8100" w14:textId="77777777" w:rsidR="003025F2" w:rsidRPr="000B70A2" w:rsidRDefault="003025F2" w:rsidP="00AF7717">
            <w:pPr>
              <w:keepNext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DDDE1" w14:textId="77777777" w:rsidR="003025F2" w:rsidRPr="001B4C4A" w:rsidRDefault="003025F2" w:rsidP="00F774A9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(Q)SAR</w:t>
            </w:r>
          </w:p>
        </w:tc>
      </w:tr>
    </w:tbl>
    <w:p w14:paraId="3AEDFF97" w14:textId="152A9D67" w:rsidR="003025F2" w:rsidRDefault="003025F2" w:rsidP="00AF7717">
      <w:pPr>
        <w:spacing w:after="0" w:line="480" w:lineRule="auto"/>
        <w:ind w:left="720" w:hanging="720"/>
        <w:jc w:val="both"/>
        <w:rPr>
          <w:sz w:val="20"/>
        </w:rPr>
      </w:pPr>
      <w:r>
        <w:rPr>
          <w:sz w:val="20"/>
        </w:rPr>
        <w:t>Table 3.</w:t>
      </w:r>
      <w:r>
        <w:rPr>
          <w:sz w:val="20"/>
        </w:rPr>
        <w:tab/>
        <w:t>Number of substances predicted positive</w:t>
      </w:r>
      <w:r w:rsidR="00D63A63">
        <w:rPr>
          <w:sz w:val="20"/>
        </w:rPr>
        <w:t xml:space="preserve"> for Ames mutagenicity</w:t>
      </w:r>
      <w:r>
        <w:rPr>
          <w:sz w:val="20"/>
        </w:rPr>
        <w:t xml:space="preserve"> in a battery of 2 (left panel) and 3 (right panel) </w:t>
      </w:r>
      <w:r w:rsidRPr="003025F2">
        <w:rPr>
          <w:sz w:val="20"/>
        </w:rPr>
        <w:t>(Q)SAR</w:t>
      </w:r>
      <w:r>
        <w:rPr>
          <w:sz w:val="20"/>
        </w:rPr>
        <w:t xml:space="preserve"> </w:t>
      </w:r>
      <w:r w:rsidR="00D63A63">
        <w:rPr>
          <w:sz w:val="20"/>
        </w:rPr>
        <w:t>tools</w:t>
      </w:r>
      <w:r>
        <w:rPr>
          <w:sz w:val="20"/>
        </w:rPr>
        <w:t>.</w:t>
      </w:r>
    </w:p>
    <w:p w14:paraId="57732436" w14:textId="77777777" w:rsidR="00AF6326" w:rsidRDefault="00AF6326" w:rsidP="00AF6326">
      <w:pPr>
        <w:spacing w:after="0" w:line="480" w:lineRule="auto"/>
        <w:jc w:val="both"/>
        <w:rPr>
          <w:b/>
        </w:rPr>
      </w:pPr>
    </w:p>
    <w:p w14:paraId="77411C15" w14:textId="77777777" w:rsidR="007A01B6" w:rsidRPr="0079725C" w:rsidRDefault="007A01B6" w:rsidP="00AF6326">
      <w:pPr>
        <w:keepNext/>
        <w:spacing w:after="0" w:line="480" w:lineRule="auto"/>
        <w:jc w:val="both"/>
        <w:rPr>
          <w:b/>
        </w:rPr>
      </w:pPr>
      <w:r w:rsidRPr="0079725C">
        <w:rPr>
          <w:b/>
        </w:rPr>
        <w:t>3.2. Combin</w:t>
      </w:r>
      <w:r>
        <w:rPr>
          <w:b/>
        </w:rPr>
        <w:t>ation of</w:t>
      </w:r>
      <w:r w:rsidRPr="0079725C">
        <w:rPr>
          <w:b/>
        </w:rPr>
        <w:t xml:space="preserve"> models</w:t>
      </w:r>
    </w:p>
    <w:p w14:paraId="6B4521B7" w14:textId="77376F01" w:rsidR="00C2173B" w:rsidRDefault="002907E5" w:rsidP="00EB2F1C">
      <w:pPr>
        <w:spacing w:after="0" w:line="480" w:lineRule="auto"/>
        <w:jc w:val="both"/>
      </w:pPr>
      <w:r>
        <w:t>The combined prediction outcome using the 4 (Q)SAR</w:t>
      </w:r>
      <w:r>
        <w:rPr>
          <w:i/>
        </w:rPr>
        <w:t xml:space="preserve"> </w:t>
      </w:r>
      <w:r>
        <w:t xml:space="preserve">systems is depicted in </w:t>
      </w:r>
      <w:r w:rsidRPr="002907E5">
        <w:rPr>
          <w:b/>
        </w:rPr>
        <w:t xml:space="preserve">Figure </w:t>
      </w:r>
      <w:r w:rsidR="00E871E9">
        <w:rPr>
          <w:b/>
        </w:rPr>
        <w:t>3</w:t>
      </w:r>
      <w:r>
        <w:t xml:space="preserve">. </w:t>
      </w:r>
      <w:r w:rsidR="00D418AC">
        <w:t>Out of the 1723 non-evaluated substances,</w:t>
      </w:r>
      <w:r w:rsidR="00EA071E">
        <w:t xml:space="preserve"> </w:t>
      </w:r>
      <w:r w:rsidR="00D418AC">
        <w:t>106</w:t>
      </w:r>
      <w:r>
        <w:t xml:space="preserve"> are predicted mutagens </w:t>
      </w:r>
      <w:r w:rsidR="00291835">
        <w:t>by</w:t>
      </w:r>
      <w:r>
        <w:t xml:space="preserve"> all tools, whereas 572 are predicted </w:t>
      </w:r>
      <w:r w:rsidR="00D418AC">
        <w:t xml:space="preserve">to be </w:t>
      </w:r>
      <w:r>
        <w:t xml:space="preserve">non-mutagenic. </w:t>
      </w:r>
      <w:r w:rsidR="00AB4C6C">
        <w:t>A</w:t>
      </w:r>
      <w:r w:rsidR="00291835">
        <w:t xml:space="preserve"> substantial part of 1045 </w:t>
      </w:r>
      <w:r w:rsidR="002F7326">
        <w:t>study substances</w:t>
      </w:r>
      <w:r w:rsidR="00AB4C6C">
        <w:t xml:space="preserve"> was not clearly identified as mutagenic or non-mutagenic</w:t>
      </w:r>
      <w:r w:rsidR="002B7982">
        <w:t>, but</w:t>
      </w:r>
      <w:r w:rsidR="001765C1">
        <w:t xml:space="preserve"> either positive in at least</w:t>
      </w:r>
      <w:r w:rsidR="00C2173B">
        <w:t xml:space="preserve"> </w:t>
      </w:r>
      <w:r w:rsidR="002B7982">
        <w:t>1</w:t>
      </w:r>
      <w:r w:rsidR="001765C1">
        <w:t xml:space="preserve"> but not in all </w:t>
      </w:r>
      <w:r w:rsidR="002F7326">
        <w:t xml:space="preserve">tools, </w:t>
      </w:r>
      <w:r w:rsidR="002B7982">
        <w:t>or negative in all</w:t>
      </w:r>
      <w:r w:rsidR="001765C1">
        <w:t xml:space="preserve"> tools but </w:t>
      </w:r>
      <w:r w:rsidR="002F7326">
        <w:t xml:space="preserve">with an outside domain notification in </w:t>
      </w:r>
      <w:r w:rsidR="002F7326" w:rsidRPr="00990312">
        <w:t xml:space="preserve">at least </w:t>
      </w:r>
      <w:r w:rsidR="002B7982" w:rsidRPr="00990312">
        <w:t>1</w:t>
      </w:r>
      <w:r w:rsidR="002F7326" w:rsidRPr="00990312">
        <w:t xml:space="preserve"> tool. </w:t>
      </w:r>
      <w:r w:rsidR="00A95002" w:rsidRPr="00990312">
        <w:t xml:space="preserve">These substances were considered as ‘undefined’. </w:t>
      </w:r>
      <w:r w:rsidR="00C2173B" w:rsidRPr="00990312">
        <w:t xml:space="preserve">In </w:t>
      </w:r>
      <w:r w:rsidR="00C2173B" w:rsidRPr="00990312">
        <w:rPr>
          <w:b/>
        </w:rPr>
        <w:t xml:space="preserve">Figure </w:t>
      </w:r>
      <w:r w:rsidR="00E871E9" w:rsidRPr="00990312">
        <w:rPr>
          <w:b/>
        </w:rPr>
        <w:t>4</w:t>
      </w:r>
      <w:r w:rsidR="00C2173B" w:rsidRPr="00990312">
        <w:t xml:space="preserve">, a more detailed </w:t>
      </w:r>
      <w:r w:rsidR="00310A82" w:rsidRPr="00990312">
        <w:t>overview of the prediction results</w:t>
      </w:r>
      <w:r w:rsidR="00C2173B" w:rsidRPr="00990312">
        <w:t xml:space="preserve"> is provided. </w:t>
      </w:r>
      <w:r w:rsidR="00FD7DA1" w:rsidRPr="00990312">
        <w:t>The majority of substances</w:t>
      </w:r>
      <w:r w:rsidR="00456590" w:rsidRPr="00990312">
        <w:t xml:space="preserve"> (11</w:t>
      </w:r>
      <w:r w:rsidR="009A389C" w:rsidRPr="00990312">
        <w:t>91</w:t>
      </w:r>
      <w:r w:rsidR="00FD7DA1" w:rsidRPr="00990312">
        <w:t xml:space="preserve"> </w:t>
      </w:r>
      <w:r w:rsidR="00456590" w:rsidRPr="00990312">
        <w:t xml:space="preserve">compounds) </w:t>
      </w:r>
      <w:r w:rsidR="00FD7DA1" w:rsidRPr="00990312">
        <w:t xml:space="preserve">do not trigger a positive prediction in any </w:t>
      </w:r>
      <w:r w:rsidR="00456590" w:rsidRPr="00990312">
        <w:t xml:space="preserve">of the four </w:t>
      </w:r>
      <w:r w:rsidR="00FD7DA1" w:rsidRPr="00990312">
        <w:t>tool</w:t>
      </w:r>
      <w:r w:rsidR="00456590" w:rsidRPr="00990312">
        <w:t>s.</w:t>
      </w:r>
      <w:r w:rsidR="00FD7DA1" w:rsidRPr="00990312">
        <w:t xml:space="preserve"> </w:t>
      </w:r>
      <w:r w:rsidR="00456590" w:rsidRPr="00990312">
        <w:t>H</w:t>
      </w:r>
      <w:r w:rsidR="00FD7DA1" w:rsidRPr="00990312">
        <w:t>owever</w:t>
      </w:r>
      <w:r w:rsidR="00456590" w:rsidRPr="00990312">
        <w:t>,</w:t>
      </w:r>
      <w:r w:rsidR="00FD7DA1" w:rsidRPr="00990312">
        <w:t xml:space="preserve"> </w:t>
      </w:r>
      <w:r w:rsidR="00456590" w:rsidRPr="00990312">
        <w:t xml:space="preserve">many of these compounds </w:t>
      </w:r>
      <w:r w:rsidR="0023509C" w:rsidRPr="00990312">
        <w:t>(619 compounds)</w:t>
      </w:r>
      <w:r w:rsidR="00456590" w:rsidRPr="00990312">
        <w:t xml:space="preserve"> were outside the </w:t>
      </w:r>
      <w:r w:rsidR="00B454BB" w:rsidRPr="00990312">
        <w:t xml:space="preserve">AD </w:t>
      </w:r>
      <w:r w:rsidR="00456590" w:rsidRPr="00990312">
        <w:t xml:space="preserve">of at least one </w:t>
      </w:r>
      <w:r w:rsidR="003B1B26" w:rsidRPr="00990312">
        <w:t>too</w:t>
      </w:r>
      <w:r w:rsidR="00456590" w:rsidRPr="00990312">
        <w:t>l</w:t>
      </w:r>
      <w:r w:rsidR="00C2173B" w:rsidRPr="00990312">
        <w:t>.</w:t>
      </w:r>
      <w:r w:rsidR="00B83DED" w:rsidRPr="00990312">
        <w:t xml:space="preserve"> </w:t>
      </w:r>
      <w:r w:rsidR="003B1B26" w:rsidRPr="00990312">
        <w:t>Consequently</w:t>
      </w:r>
      <w:r w:rsidR="00B83DED" w:rsidRPr="00990312">
        <w:t xml:space="preserve">, </w:t>
      </w:r>
      <w:r w:rsidR="00B454BB" w:rsidRPr="00990312">
        <w:t>in the context of this study</w:t>
      </w:r>
      <w:r w:rsidR="00B83DED" w:rsidRPr="00990312">
        <w:t xml:space="preserve">, ‘negative’ should be interpreted as ‘no positive response reported’. </w:t>
      </w:r>
      <w:r w:rsidR="00F02173" w:rsidRPr="00990312">
        <w:t xml:space="preserve">On the other hand, </w:t>
      </w:r>
      <w:r w:rsidR="003B1B26" w:rsidRPr="00990312">
        <w:t xml:space="preserve">only 8 out </w:t>
      </w:r>
      <w:r w:rsidR="00F02173" w:rsidRPr="00990312">
        <w:t>of the 128 substances predicted positive in 3 tools are outside the domain of the 4</w:t>
      </w:r>
      <w:r w:rsidR="00F02173" w:rsidRPr="00990312">
        <w:rPr>
          <w:vertAlign w:val="superscript"/>
        </w:rPr>
        <w:t>th</w:t>
      </w:r>
      <w:r w:rsidR="00F02173" w:rsidRPr="00990312">
        <w:t xml:space="preserve"> tool of the </w:t>
      </w:r>
      <w:r w:rsidR="00F02173" w:rsidRPr="00990312">
        <w:rPr>
          <w:i/>
        </w:rPr>
        <w:t>in silico</w:t>
      </w:r>
      <w:r w:rsidR="00F02173" w:rsidRPr="00990312">
        <w:t xml:space="preserve"> battery (4 in Derek and 4 in VEGA). </w:t>
      </w:r>
      <w:r w:rsidR="00583E6F" w:rsidRPr="00990312">
        <w:t>It</w:t>
      </w:r>
      <w:bookmarkStart w:id="0" w:name="_GoBack"/>
      <w:bookmarkEnd w:id="0"/>
      <w:r w:rsidR="00CF3740" w:rsidRPr="00DC043D">
        <w:t xml:space="preserve"> can be debated what significance should be given to results based on outside domain warnings. From a precautionary point of view, it is more appropriate to consider compounds outside the AD as potential mutagens</w:t>
      </w:r>
      <w:r w:rsidR="00330934">
        <w:t xml:space="preserve">, since this indicates a general lack of knowledge on the (toxicological) properties </w:t>
      </w:r>
      <w:r w:rsidR="00330934">
        <w:lastRenderedPageBreak/>
        <w:t>of the specific chemical class</w:t>
      </w:r>
      <w:r w:rsidR="00CF3740" w:rsidRPr="00DC043D">
        <w:t xml:space="preserve">. </w:t>
      </w:r>
      <w:r w:rsidR="00D418AC">
        <w:t xml:space="preserve">Hence, after the 106 substances </w:t>
      </w:r>
      <w:r w:rsidR="00F542FE">
        <w:t xml:space="preserve">found to be </w:t>
      </w:r>
      <w:r w:rsidR="00D418AC">
        <w:t>positive in all tools</w:t>
      </w:r>
      <w:r w:rsidR="00583E6F" w:rsidRPr="00DC043D">
        <w:t>, the</w:t>
      </w:r>
      <w:r w:rsidR="009A2F1F" w:rsidRPr="00DC043D">
        <w:t xml:space="preserve"> 8 compounds </w:t>
      </w:r>
      <w:r w:rsidR="00F542FE">
        <w:t xml:space="preserve">found as </w:t>
      </w:r>
      <w:r w:rsidR="00583E6F" w:rsidRPr="00DC043D">
        <w:t xml:space="preserve">positive in 3 tools and outside domain </w:t>
      </w:r>
      <w:r w:rsidR="00941A51">
        <w:t>in</w:t>
      </w:r>
      <w:r w:rsidR="00583E6F" w:rsidRPr="00DC043D">
        <w:t xml:space="preserve"> the 4</w:t>
      </w:r>
      <w:r w:rsidR="00583E6F" w:rsidRPr="00DC043D">
        <w:rPr>
          <w:vertAlign w:val="superscript"/>
        </w:rPr>
        <w:t>th</w:t>
      </w:r>
      <w:r w:rsidR="00583E6F" w:rsidRPr="00DC043D">
        <w:t xml:space="preserve"> tool a</w:t>
      </w:r>
      <w:r w:rsidR="00D418AC">
        <w:t>re of second highest concern</w:t>
      </w:r>
      <w:r w:rsidR="00583E6F" w:rsidRPr="00DC043D">
        <w:t xml:space="preserve">. </w:t>
      </w:r>
      <w:r w:rsidR="00583E6F" w:rsidRPr="00DC043D">
        <w:rPr>
          <w:b/>
        </w:rPr>
        <w:t xml:space="preserve">Figure </w:t>
      </w:r>
      <w:r w:rsidR="00E871E9">
        <w:rPr>
          <w:b/>
        </w:rPr>
        <w:t>4</w:t>
      </w:r>
      <w:r w:rsidR="00583E6F" w:rsidRPr="00DC043D">
        <w:t xml:space="preserve"> represents the detailed priority ranking following this strategy.</w:t>
      </w:r>
      <w:r w:rsidR="00583E6F">
        <w:t xml:space="preserve">  </w:t>
      </w:r>
      <w:r w:rsidR="009A2F1F">
        <w:t xml:space="preserve"> </w:t>
      </w:r>
    </w:p>
    <w:p w14:paraId="070F3ECB" w14:textId="77777777" w:rsidR="002E559F" w:rsidRDefault="002E559F" w:rsidP="00EB2F1C">
      <w:pPr>
        <w:spacing w:after="0" w:line="480" w:lineRule="auto"/>
        <w:jc w:val="both"/>
      </w:pPr>
    </w:p>
    <w:p w14:paraId="5F6775E2" w14:textId="777A03D8" w:rsidR="00EB2F1C" w:rsidRDefault="001077B1" w:rsidP="00EB2F1C">
      <w:pPr>
        <w:spacing w:after="0" w:line="480" w:lineRule="auto"/>
        <w:jc w:val="both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7AEF1" wp14:editId="609C19E7">
                <wp:simplePos x="0" y="0"/>
                <wp:positionH relativeFrom="column">
                  <wp:posOffset>5326380</wp:posOffset>
                </wp:positionH>
                <wp:positionV relativeFrom="paragraph">
                  <wp:posOffset>798195</wp:posOffset>
                </wp:positionV>
                <wp:extent cx="823595" cy="422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3824" w14:textId="77777777" w:rsidR="00F94AD3" w:rsidRPr="003451E5" w:rsidRDefault="00F94AD3" w:rsidP="003451E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51E5"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</w:rPr>
                              <w:t xml:space="preserve">defined </w:t>
                            </w:r>
                            <w:r w:rsidRPr="003451E5">
                              <w:rPr>
                                <w:sz w:val="18"/>
                              </w:rPr>
                              <w:t>(#1045)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62.85pt;width:64.8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" filled="f" stroked="f">
                <v:textbox>
                  <w:txbxContent>
                    <w:p w14:paraId="750A3824" w14:textId="77777777" w:rsidR="00266194" w:rsidRPr="003451E5" w:rsidRDefault="00266194" w:rsidP="003451E5">
                      <w:pPr>
                        <w:jc w:val="center"/>
                        <w:rPr>
                          <w:sz w:val="18"/>
                        </w:rPr>
                      </w:pPr>
                      <w:r w:rsidRPr="003451E5">
                        <w:rPr>
                          <w:sz w:val="18"/>
                        </w:rPr>
                        <w:t>Un</w:t>
                      </w:r>
                      <w:r>
                        <w:rPr>
                          <w:sz w:val="18"/>
                        </w:rPr>
                        <w:t xml:space="preserve">defined </w:t>
                      </w:r>
                      <w:r w:rsidRPr="003451E5">
                        <w:rPr>
                          <w:sz w:val="18"/>
                        </w:rPr>
                        <w:t>(#1045)</w:t>
                      </w:r>
                    </w:p>
                  </w:txbxContent>
                </v:textbox>
              </v:shape>
            </w:pict>
          </mc:Fallback>
        </mc:AlternateContent>
      </w:r>
      <w:r w:rsidR="00520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FAF9A" wp14:editId="4D4D2D3F">
                <wp:simplePos x="0" y="0"/>
                <wp:positionH relativeFrom="column">
                  <wp:posOffset>5642610</wp:posOffset>
                </wp:positionH>
                <wp:positionV relativeFrom="paragraph">
                  <wp:posOffset>705485</wp:posOffset>
                </wp:positionV>
                <wp:extent cx="124460" cy="110490"/>
                <wp:effectExtent l="0" t="0" r="27940" b="2286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460" cy="110490"/>
                        </a:xfrm>
                        <a:prstGeom prst="rect">
                          <a:avLst/>
                        </a:prstGeom>
                        <a:solidFill>
                          <a:srgbClr val="E96015"/>
                        </a:solidFill>
                        <a:ln w="9525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4.3pt;margin-top:55.55pt;width:9.8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" fillcolor="#e96015" strokecolor="#3f3151 [1607]">
                <v:stroke joinstyle="round"/>
              </v:rect>
            </w:pict>
          </mc:Fallback>
        </mc:AlternateContent>
      </w:r>
      <w:r w:rsidR="004C2A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5973D" wp14:editId="1EF27C44">
                <wp:simplePos x="0" y="0"/>
                <wp:positionH relativeFrom="column">
                  <wp:posOffset>5181600</wp:posOffset>
                </wp:positionH>
                <wp:positionV relativeFrom="paragraph">
                  <wp:posOffset>491491</wp:posOffset>
                </wp:positionV>
                <wp:extent cx="220980" cy="662940"/>
                <wp:effectExtent l="0" t="0" r="26670" b="22860"/>
                <wp:wrapNone/>
                <wp:docPr id="4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66294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08pt;margin-top:38.7pt;width:17.4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" adj="600" strokecolor="windowText"/>
            </w:pict>
          </mc:Fallback>
        </mc:AlternateContent>
      </w:r>
      <w:r w:rsidR="00D57AC0">
        <w:rPr>
          <w:noProof/>
          <w:lang w:eastAsia="en-GB"/>
        </w:rPr>
        <w:drawing>
          <wp:inline distT="0" distB="0" distL="0" distR="0" wp14:anchorId="6AD3E144" wp14:editId="2281EDA1">
            <wp:extent cx="5402580" cy="1790700"/>
            <wp:effectExtent l="0" t="0" r="762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60804DA" w14:textId="1F224B27" w:rsidR="00AF7717" w:rsidRPr="00EB2F1C" w:rsidRDefault="005A3A90" w:rsidP="00EB2F1C">
      <w:pPr>
        <w:spacing w:after="0" w:line="480" w:lineRule="auto"/>
        <w:jc w:val="both"/>
      </w:pPr>
      <w:r w:rsidRPr="00365AA4">
        <w:rPr>
          <w:sz w:val="20"/>
        </w:rPr>
        <w:t xml:space="preserve">Figure </w:t>
      </w:r>
      <w:r w:rsidR="00E871E9">
        <w:rPr>
          <w:sz w:val="20"/>
        </w:rPr>
        <w:t>3</w:t>
      </w:r>
      <w:r w:rsidRPr="00365AA4">
        <w:rPr>
          <w:sz w:val="20"/>
        </w:rPr>
        <w:t xml:space="preserve">. Distribution of </w:t>
      </w:r>
      <w:r w:rsidR="00941A51">
        <w:rPr>
          <w:sz w:val="20"/>
        </w:rPr>
        <w:t xml:space="preserve">the </w:t>
      </w:r>
      <w:r w:rsidRPr="00365AA4">
        <w:rPr>
          <w:sz w:val="20"/>
        </w:rPr>
        <w:t xml:space="preserve">substances </w:t>
      </w:r>
      <w:r w:rsidR="006151D6">
        <w:rPr>
          <w:sz w:val="20"/>
        </w:rPr>
        <w:t>according to</w:t>
      </w:r>
      <w:r w:rsidR="006C2634">
        <w:rPr>
          <w:sz w:val="20"/>
        </w:rPr>
        <w:t xml:space="preserve"> overall negative</w:t>
      </w:r>
      <w:r w:rsidR="00AF7717">
        <w:rPr>
          <w:sz w:val="20"/>
        </w:rPr>
        <w:t xml:space="preserve"> </w:t>
      </w:r>
      <w:r w:rsidR="006C2634">
        <w:rPr>
          <w:sz w:val="20"/>
        </w:rPr>
        <w:t>(</w:t>
      </w:r>
      <w:r w:rsidRPr="00365AA4">
        <w:rPr>
          <w:sz w:val="20"/>
        </w:rPr>
        <w:t xml:space="preserve">green), positive (red) or </w:t>
      </w:r>
      <w:r w:rsidR="000E0F5D">
        <w:rPr>
          <w:sz w:val="20"/>
        </w:rPr>
        <w:t>undefined</w:t>
      </w:r>
      <w:r w:rsidR="00AF7717">
        <w:rPr>
          <w:sz w:val="20"/>
        </w:rPr>
        <w:t xml:space="preserve"> </w:t>
      </w:r>
    </w:p>
    <w:p w14:paraId="5FE85CD5" w14:textId="77777777" w:rsidR="00AF7717" w:rsidRDefault="005A3A90" w:rsidP="00AF7717">
      <w:pPr>
        <w:keepNext/>
        <w:keepLines/>
        <w:spacing w:after="0" w:line="480" w:lineRule="auto"/>
        <w:ind w:left="1440" w:hanging="720"/>
        <w:jc w:val="both"/>
        <w:rPr>
          <w:sz w:val="20"/>
        </w:rPr>
      </w:pPr>
      <w:r w:rsidRPr="00365AA4">
        <w:rPr>
          <w:sz w:val="20"/>
        </w:rPr>
        <w:t>(</w:t>
      </w:r>
      <w:r w:rsidR="002B7982">
        <w:rPr>
          <w:sz w:val="20"/>
        </w:rPr>
        <w:t>orange</w:t>
      </w:r>
      <w:r w:rsidRPr="00365AA4">
        <w:rPr>
          <w:sz w:val="20"/>
        </w:rPr>
        <w:t>) prediction for Ame</w:t>
      </w:r>
      <w:r w:rsidR="006C2634">
        <w:rPr>
          <w:sz w:val="20"/>
        </w:rPr>
        <w:t xml:space="preserve">s mutagenicity when combining 4 </w:t>
      </w:r>
      <w:r w:rsidRPr="00365AA4">
        <w:rPr>
          <w:sz w:val="20"/>
        </w:rPr>
        <w:t>(Q)SAR tools</w:t>
      </w:r>
      <w:r w:rsidR="007F08EC">
        <w:rPr>
          <w:sz w:val="20"/>
        </w:rPr>
        <w:t xml:space="preserve"> (large pie)</w:t>
      </w:r>
      <w:r w:rsidRPr="00365AA4">
        <w:rPr>
          <w:sz w:val="20"/>
        </w:rPr>
        <w:t>.</w:t>
      </w:r>
      <w:r w:rsidR="007F08EC">
        <w:rPr>
          <w:sz w:val="20"/>
        </w:rPr>
        <w:t xml:space="preserve"> The </w:t>
      </w:r>
      <w:r w:rsidR="000E0F5D">
        <w:rPr>
          <w:sz w:val="20"/>
        </w:rPr>
        <w:t>undefined</w:t>
      </w:r>
      <w:r w:rsidR="00AF7717">
        <w:rPr>
          <w:sz w:val="20"/>
        </w:rPr>
        <w:t xml:space="preserve"> </w:t>
      </w:r>
    </w:p>
    <w:p w14:paraId="06710D3D" w14:textId="77777777" w:rsidR="00AF7717" w:rsidRDefault="007F08EC" w:rsidP="006C2634">
      <w:pPr>
        <w:spacing w:after="0" w:line="480" w:lineRule="auto"/>
        <w:ind w:left="1440" w:hanging="720"/>
        <w:jc w:val="both"/>
        <w:rPr>
          <w:sz w:val="20"/>
        </w:rPr>
      </w:pPr>
      <w:r>
        <w:rPr>
          <w:sz w:val="20"/>
        </w:rPr>
        <w:t xml:space="preserve">results </w:t>
      </w:r>
      <w:r w:rsidR="0013588A">
        <w:rPr>
          <w:sz w:val="20"/>
        </w:rPr>
        <w:t>are</w:t>
      </w:r>
      <w:r>
        <w:rPr>
          <w:sz w:val="20"/>
        </w:rPr>
        <w:t xml:space="preserve"> subdivided in s</w:t>
      </w:r>
      <w:r w:rsidR="006C2634">
        <w:rPr>
          <w:sz w:val="20"/>
        </w:rPr>
        <w:t>ubstances generating a positive</w:t>
      </w:r>
      <w:r w:rsidR="00AF7717">
        <w:rPr>
          <w:sz w:val="20"/>
        </w:rPr>
        <w:t xml:space="preserve"> </w:t>
      </w:r>
      <w:r>
        <w:rPr>
          <w:sz w:val="20"/>
        </w:rPr>
        <w:t>outcome in 1</w:t>
      </w:r>
      <w:r w:rsidR="000E5FB4">
        <w:rPr>
          <w:sz w:val="20"/>
        </w:rPr>
        <w:t xml:space="preserve"> up to</w:t>
      </w:r>
      <w:r>
        <w:rPr>
          <w:sz w:val="20"/>
        </w:rPr>
        <w:t xml:space="preserve"> 3 tools </w:t>
      </w:r>
      <w:r w:rsidR="000E5FB4">
        <w:rPr>
          <w:sz w:val="20"/>
        </w:rPr>
        <w:t xml:space="preserve">or substances </w:t>
      </w:r>
    </w:p>
    <w:p w14:paraId="3D8B5A30" w14:textId="3A15834D" w:rsidR="005A3A90" w:rsidRDefault="000E5FB4" w:rsidP="006C2634">
      <w:pPr>
        <w:spacing w:after="0" w:line="480" w:lineRule="auto"/>
        <w:ind w:left="1440" w:hanging="720"/>
        <w:jc w:val="both"/>
      </w:pPr>
      <w:r>
        <w:rPr>
          <w:sz w:val="20"/>
        </w:rPr>
        <w:t xml:space="preserve">negative in all 4 but outside domain </w:t>
      </w:r>
      <w:r w:rsidR="007F08EC">
        <w:rPr>
          <w:sz w:val="20"/>
        </w:rPr>
        <w:t>(small pie).</w:t>
      </w:r>
      <w:r w:rsidR="005A3A90" w:rsidRPr="004459AE">
        <w:tab/>
      </w:r>
    </w:p>
    <w:p w14:paraId="37706F90" w14:textId="22590FBB" w:rsidR="00EB2F1C" w:rsidRPr="004459AE" w:rsidRDefault="00EB2F1C" w:rsidP="006C2634">
      <w:pPr>
        <w:spacing w:after="0" w:line="480" w:lineRule="auto"/>
        <w:ind w:left="1440" w:hanging="720"/>
        <w:jc w:val="both"/>
      </w:pPr>
    </w:p>
    <w:p w14:paraId="42FA3431" w14:textId="50D0D0A8" w:rsidR="00E51A4C" w:rsidRPr="00A810CC" w:rsidRDefault="00901959" w:rsidP="002E559F">
      <w:pPr>
        <w:spacing w:after="0" w:line="240" w:lineRule="auto"/>
        <w:ind w:left="-851"/>
        <w:jc w:val="both"/>
        <w:rPr>
          <w:sz w:val="18"/>
        </w:rPr>
      </w:pPr>
      <w:r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C570A" wp14:editId="03950550">
                <wp:simplePos x="0" y="0"/>
                <wp:positionH relativeFrom="column">
                  <wp:posOffset>5109210</wp:posOffset>
                </wp:positionH>
                <wp:positionV relativeFrom="paragraph">
                  <wp:posOffset>-74930</wp:posOffset>
                </wp:positionV>
                <wp:extent cx="552450" cy="3763645"/>
                <wp:effectExtent l="876300" t="0" r="914400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2601">
                          <a:off x="0" y="0"/>
                          <a:ext cx="552450" cy="376364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02.3pt;margin-top:-5.9pt;width:43.5pt;height:296.35pt;rotation:959294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" adj="20015" fillcolor="#fac090" strokecolor="#385d8a" strokeweight="2pt"/>
            </w:pict>
          </mc:Fallback>
        </mc:AlternateContent>
      </w:r>
      <w:r w:rsidR="00AB32ED" w:rsidRPr="009A7CA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3BEF1E4" wp14:editId="5631F9DA">
                <wp:simplePos x="0" y="0"/>
                <wp:positionH relativeFrom="column">
                  <wp:posOffset>4802505</wp:posOffset>
                </wp:positionH>
                <wp:positionV relativeFrom="paragraph">
                  <wp:posOffset>1503680</wp:posOffset>
                </wp:positionV>
                <wp:extent cx="1003935" cy="359410"/>
                <wp:effectExtent l="93663" t="0" r="194627" b="0"/>
                <wp:wrapNone/>
                <wp:docPr id="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rot="3404073">
                          <a:off x="0" y="0"/>
                          <a:ext cx="100393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F47B" w14:textId="5827CB41" w:rsidR="00F94AD3" w:rsidRPr="009A7CA2" w:rsidRDefault="00F94AD3">
                            <w:pPr>
                              <w:rPr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9A7CA2">
                              <w:rPr>
                                <w:b/>
                                <w:color w:val="1F497D" w:themeColor="text2"/>
                                <w:sz w:val="32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8.15pt;margin-top:118.4pt;width:79.05pt;height:28.3pt;rotation:371815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" filled="f" stroked="f">
                <o:lock v:ext="edit" aspectratio="t"/>
                <v:textbox>
                  <w:txbxContent>
                    <w:p w14:paraId="02D8F47B" w14:textId="5827CB41" w:rsidR="001E44A7" w:rsidRPr="009A7CA2" w:rsidRDefault="001E44A7">
                      <w:pPr>
                        <w:rPr>
                          <w:b/>
                          <w:color w:val="1F497D" w:themeColor="text2"/>
                          <w:sz w:val="32"/>
                        </w:rPr>
                      </w:pPr>
                      <w:r w:rsidRPr="009A7CA2">
                        <w:rPr>
                          <w:b/>
                          <w:color w:val="1F497D" w:themeColor="text2"/>
                          <w:sz w:val="32"/>
                        </w:rPr>
                        <w:t>PRIORITY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77B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701AB" wp14:editId="3B2B0955">
                <wp:simplePos x="0" y="0"/>
                <wp:positionH relativeFrom="column">
                  <wp:posOffset>-198120</wp:posOffset>
                </wp:positionH>
                <wp:positionV relativeFrom="paragraph">
                  <wp:posOffset>3565525</wp:posOffset>
                </wp:positionV>
                <wp:extent cx="5257800" cy="152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280.75pt" to="398.4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" strokecolor="#4579b8 [3044]"/>
            </w:pict>
          </mc:Fallback>
        </mc:AlternateContent>
      </w:r>
      <w:r w:rsidR="00742F47">
        <w:rPr>
          <w:b/>
          <w:noProof/>
          <w:sz w:val="24"/>
          <w:lang w:eastAsia="en-GB"/>
        </w:rPr>
        <w:drawing>
          <wp:inline distT="0" distB="0" distL="0" distR="0" wp14:anchorId="702B5353" wp14:editId="4DBD424A">
            <wp:extent cx="7696200" cy="3903133"/>
            <wp:effectExtent l="76200" t="57150" r="0" b="1168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901959">
        <w:rPr>
          <w:b/>
          <w:noProof/>
          <w:sz w:val="24"/>
          <w:lang w:eastAsia="en-GB"/>
        </w:rPr>
        <w:t xml:space="preserve"> </w:t>
      </w:r>
      <w:r w:rsidR="00B71E0C">
        <w:rPr>
          <w:b/>
          <w:sz w:val="24"/>
        </w:rPr>
        <w:t xml:space="preserve"> </w:t>
      </w:r>
    </w:p>
    <w:p w14:paraId="729D9F93" w14:textId="321E55DD" w:rsidR="00EB2F1C" w:rsidRDefault="00B71E0C" w:rsidP="00EB2F1C">
      <w:pPr>
        <w:spacing w:after="0" w:line="480" w:lineRule="auto"/>
        <w:jc w:val="both"/>
        <w:rPr>
          <w:sz w:val="20"/>
          <w:szCs w:val="20"/>
        </w:rPr>
      </w:pPr>
      <w:r w:rsidRPr="00B71E0C">
        <w:rPr>
          <w:sz w:val="20"/>
          <w:szCs w:val="20"/>
        </w:rPr>
        <w:t xml:space="preserve">Figure </w:t>
      </w:r>
      <w:r w:rsidR="00E871E9">
        <w:rPr>
          <w:sz w:val="20"/>
          <w:szCs w:val="20"/>
        </w:rPr>
        <w:t>4</w:t>
      </w:r>
      <w:r w:rsidRPr="00B71E0C">
        <w:rPr>
          <w:sz w:val="20"/>
          <w:szCs w:val="20"/>
        </w:rPr>
        <w:t xml:space="preserve">. </w:t>
      </w:r>
      <w:r w:rsidR="00EB569B">
        <w:rPr>
          <w:sz w:val="20"/>
          <w:szCs w:val="20"/>
        </w:rPr>
        <w:t>Priority ranking and d</w:t>
      </w:r>
      <w:r w:rsidR="00CF3F84">
        <w:rPr>
          <w:sz w:val="20"/>
          <w:szCs w:val="20"/>
        </w:rPr>
        <w:t xml:space="preserve">istribution of </w:t>
      </w:r>
      <w:r w:rsidR="006151D6">
        <w:rPr>
          <w:sz w:val="20"/>
          <w:szCs w:val="20"/>
        </w:rPr>
        <w:t>non-evaluated printed paper and board</w:t>
      </w:r>
      <w:r w:rsidR="00CF3F84">
        <w:rPr>
          <w:sz w:val="20"/>
          <w:szCs w:val="20"/>
        </w:rPr>
        <w:t xml:space="preserve"> substances according to </w:t>
      </w:r>
    </w:p>
    <w:p w14:paraId="0BCBC3ED" w14:textId="6BF82D9D" w:rsidR="00786395" w:rsidRPr="005C6FE1" w:rsidRDefault="005D2341" w:rsidP="00EB2F1C">
      <w:pPr>
        <w:spacing w:after="0"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Ames </w:t>
      </w:r>
      <w:r w:rsidR="00EB569B">
        <w:rPr>
          <w:sz w:val="20"/>
          <w:szCs w:val="20"/>
        </w:rPr>
        <w:t xml:space="preserve">mutagenicity </w:t>
      </w:r>
      <w:r w:rsidR="00CF3F84">
        <w:rPr>
          <w:sz w:val="20"/>
          <w:szCs w:val="20"/>
        </w:rPr>
        <w:t>p</w:t>
      </w:r>
      <w:r w:rsidR="00076BA9">
        <w:rPr>
          <w:sz w:val="20"/>
          <w:szCs w:val="20"/>
        </w:rPr>
        <w:t>rediction outcome</w:t>
      </w:r>
      <w:r w:rsidR="00B71E0C" w:rsidRPr="00B71E0C">
        <w:rPr>
          <w:sz w:val="20"/>
          <w:szCs w:val="20"/>
        </w:rPr>
        <w:t xml:space="preserve"> </w:t>
      </w:r>
      <w:r w:rsidR="00076BA9">
        <w:rPr>
          <w:sz w:val="20"/>
          <w:szCs w:val="20"/>
        </w:rPr>
        <w:t>using</w:t>
      </w:r>
      <w:r w:rsidR="00CF3F84">
        <w:rPr>
          <w:sz w:val="20"/>
          <w:szCs w:val="20"/>
        </w:rPr>
        <w:t xml:space="preserve"> 4</w:t>
      </w:r>
      <w:r w:rsidR="00B71E0C" w:rsidRPr="00B71E0C">
        <w:rPr>
          <w:sz w:val="20"/>
          <w:szCs w:val="20"/>
        </w:rPr>
        <w:t xml:space="preserve"> (Q)SAR tools</w:t>
      </w:r>
      <w:r w:rsidR="0020002D">
        <w:rPr>
          <w:sz w:val="20"/>
          <w:szCs w:val="20"/>
        </w:rPr>
        <w:t>; the fraction of substances outside domain in at least 1 remaining tool is mentioned between brackets.</w:t>
      </w:r>
      <w:r w:rsidR="0020002D" w:rsidRPr="00B71E0C">
        <w:rPr>
          <w:sz w:val="20"/>
          <w:szCs w:val="20"/>
        </w:rPr>
        <w:t xml:space="preserve"> </w:t>
      </w:r>
      <w:r w:rsidR="00B71E0C" w:rsidRPr="005C6FE1">
        <w:rPr>
          <w:sz w:val="20"/>
          <w:szCs w:val="20"/>
        </w:rPr>
        <w:t xml:space="preserve">V: VEGA, T: </w:t>
      </w:r>
      <w:r w:rsidR="00076BA9" w:rsidRPr="005C6FE1">
        <w:rPr>
          <w:sz w:val="20"/>
          <w:szCs w:val="20"/>
        </w:rPr>
        <w:t xml:space="preserve">Toxtree, D: Derek, S: Sarah. </w:t>
      </w:r>
    </w:p>
    <w:p w14:paraId="73C5DCE7" w14:textId="6C4AF80D" w:rsidR="00CA1ED6" w:rsidRDefault="00CA1ED6" w:rsidP="00786395">
      <w:pPr>
        <w:spacing w:after="0" w:line="480" w:lineRule="auto"/>
        <w:jc w:val="both"/>
        <w:rPr>
          <w:b/>
        </w:rPr>
      </w:pPr>
    </w:p>
    <w:p w14:paraId="53146B74" w14:textId="241F8710" w:rsidR="00924F55" w:rsidRPr="00924F55" w:rsidRDefault="00924F55" w:rsidP="00786395">
      <w:pPr>
        <w:spacing w:after="0" w:line="480" w:lineRule="auto"/>
        <w:jc w:val="both"/>
        <w:rPr>
          <w:b/>
        </w:rPr>
      </w:pPr>
      <w:r w:rsidRPr="00924F55">
        <w:rPr>
          <w:b/>
        </w:rPr>
        <w:t xml:space="preserve">3.3. </w:t>
      </w:r>
      <w:r>
        <w:rPr>
          <w:b/>
        </w:rPr>
        <w:t>P</w:t>
      </w:r>
      <w:r w:rsidRPr="00924F55">
        <w:rPr>
          <w:b/>
        </w:rPr>
        <w:t>riority substances</w:t>
      </w:r>
    </w:p>
    <w:p w14:paraId="516B1A3B" w14:textId="614EB6EB" w:rsidR="00262117" w:rsidRDefault="00497FFD" w:rsidP="00786395">
      <w:pPr>
        <w:spacing w:after="0" w:line="480" w:lineRule="auto"/>
        <w:jc w:val="both"/>
      </w:pPr>
      <w:r>
        <w:t xml:space="preserve">The </w:t>
      </w:r>
      <w:r w:rsidR="00924F55">
        <w:t>106 substances</w:t>
      </w:r>
      <w:r>
        <w:t xml:space="preserve"> </w:t>
      </w:r>
      <w:r w:rsidR="00530038">
        <w:t>predicted</w:t>
      </w:r>
      <w:r w:rsidR="00A67CA5">
        <w:t xml:space="preserve"> positive</w:t>
      </w:r>
      <w:r w:rsidR="00924F55">
        <w:t xml:space="preserve"> in </w:t>
      </w:r>
      <w:r w:rsidR="00924F55" w:rsidRPr="00A67CA5">
        <w:t xml:space="preserve">all 4 </w:t>
      </w:r>
      <w:r w:rsidR="00A67CA5" w:rsidRPr="00A67CA5">
        <w:t>(Q)SAR</w:t>
      </w:r>
      <w:r w:rsidR="00924F55" w:rsidRPr="00A67CA5">
        <w:t xml:space="preserve"> tools</w:t>
      </w:r>
      <w:r>
        <w:t xml:space="preserve"> </w:t>
      </w:r>
      <w:r w:rsidR="00041B3E">
        <w:t xml:space="preserve">are considered of highest priority for </w:t>
      </w:r>
      <w:r w:rsidR="001B4A71">
        <w:t xml:space="preserve">further investigation of </w:t>
      </w:r>
      <w:r w:rsidR="00D418AC">
        <w:t xml:space="preserve">potential </w:t>
      </w:r>
      <w:r w:rsidR="001B4A71">
        <w:t>mutagenicity</w:t>
      </w:r>
      <w:r w:rsidR="00924F55">
        <w:t xml:space="preserve">. </w:t>
      </w:r>
      <w:r w:rsidR="00FA67D8">
        <w:t xml:space="preserve">Fifty-three of these are </w:t>
      </w:r>
      <w:r w:rsidR="007C6939">
        <w:t>found in</w:t>
      </w:r>
      <w:r w:rsidR="00FA67D8">
        <w:t xml:space="preserve"> the model training sets (</w:t>
      </w:r>
      <w:r w:rsidR="00924F55">
        <w:t>51 have a confidence score of 100% in Sarah</w:t>
      </w:r>
      <w:r w:rsidR="00FA67D8">
        <w:t xml:space="preserve"> and 2 have an ADI of 1 in VEGA)</w:t>
      </w:r>
      <w:r w:rsidR="007A6C75">
        <w:t>,</w:t>
      </w:r>
      <w:r w:rsidR="00D833E4">
        <w:t xml:space="preserve"> </w:t>
      </w:r>
      <w:r w:rsidR="00041B3E">
        <w:t>hence</w:t>
      </w:r>
      <w:r w:rsidR="00FA67D8">
        <w:t xml:space="preserve"> they are </w:t>
      </w:r>
      <w:r w:rsidR="007C6939">
        <w:t>presumed</w:t>
      </w:r>
      <w:r w:rsidR="00D833E4">
        <w:t xml:space="preserve"> experimental</w:t>
      </w:r>
      <w:r w:rsidR="00224333">
        <w:t xml:space="preserve"> Ames</w:t>
      </w:r>
      <w:r w:rsidR="00D833E4">
        <w:t xml:space="preserve"> mutagen</w:t>
      </w:r>
      <w:r w:rsidR="009D63A1">
        <w:t>s</w:t>
      </w:r>
      <w:r w:rsidR="007F1251">
        <w:t xml:space="preserve"> (</w:t>
      </w:r>
      <w:r w:rsidR="00520496">
        <w:rPr>
          <w:b/>
        </w:rPr>
        <w:t>Table 4</w:t>
      </w:r>
      <w:r w:rsidR="007F1251" w:rsidRPr="007F1251">
        <w:rPr>
          <w:b/>
        </w:rPr>
        <w:t>a</w:t>
      </w:r>
      <w:r w:rsidR="007F1251">
        <w:t>)</w:t>
      </w:r>
      <w:r w:rsidR="00924F55">
        <w:t xml:space="preserve">. </w:t>
      </w:r>
      <w:r w:rsidR="007C0570">
        <w:t xml:space="preserve">For these 53 compounds, </w:t>
      </w:r>
      <w:r w:rsidR="00E13E89">
        <w:t xml:space="preserve">if possible the primary literature should be consulted to verify the positive outcome, and if confirmed, </w:t>
      </w:r>
      <w:r w:rsidR="007C0570" w:rsidRPr="007C0570">
        <w:rPr>
          <w:i/>
        </w:rPr>
        <w:t>in vivo</w:t>
      </w:r>
      <w:r w:rsidR="007C0570">
        <w:t xml:space="preserve"> data are required </w:t>
      </w:r>
      <w:r w:rsidR="00B55915">
        <w:t xml:space="preserve">to </w:t>
      </w:r>
      <w:r w:rsidR="00E13E89">
        <w:t xml:space="preserve">either endorse </w:t>
      </w:r>
      <w:r w:rsidR="00B55915">
        <w:t xml:space="preserve">or </w:t>
      </w:r>
      <w:r w:rsidR="00EA071E">
        <w:t>overrul</w:t>
      </w:r>
      <w:r w:rsidR="00B55915">
        <w:t xml:space="preserve">e the </w:t>
      </w:r>
      <w:r w:rsidR="00B55915">
        <w:rPr>
          <w:i/>
        </w:rPr>
        <w:t xml:space="preserve">in vitro </w:t>
      </w:r>
      <w:r w:rsidR="00B55915">
        <w:t xml:space="preserve">positive </w:t>
      </w:r>
      <w:r w:rsidR="00B55915" w:rsidRPr="00262117">
        <w:t xml:space="preserve">results. In case </w:t>
      </w:r>
      <w:r w:rsidR="006D56B3">
        <w:t xml:space="preserve">mutagenicity is confirmed </w:t>
      </w:r>
      <w:r w:rsidR="006D56B3" w:rsidRPr="001B4A71">
        <w:rPr>
          <w:i/>
        </w:rPr>
        <w:t>in vivo</w:t>
      </w:r>
      <w:r w:rsidR="006D56B3">
        <w:t xml:space="preserve"> or </w:t>
      </w:r>
      <w:r w:rsidR="00B55915" w:rsidRPr="00262117">
        <w:t xml:space="preserve">no reliable negative </w:t>
      </w:r>
      <w:r w:rsidR="00B55915" w:rsidRPr="00262117">
        <w:rPr>
          <w:i/>
        </w:rPr>
        <w:t>in vivo</w:t>
      </w:r>
      <w:r w:rsidR="00B55915" w:rsidRPr="00262117">
        <w:t xml:space="preserve"> data are available, they are of highest</w:t>
      </w:r>
      <w:r w:rsidR="00AE751C" w:rsidRPr="00262117">
        <w:t xml:space="preserve"> priority for migration testing</w:t>
      </w:r>
      <w:r w:rsidR="003C4523" w:rsidRPr="00262117">
        <w:t xml:space="preserve">. Indeed, the mutagenic potential of a FCM compound is only of concern in case it migrates </w:t>
      </w:r>
      <w:r w:rsidR="003C4523" w:rsidRPr="00262117">
        <w:lastRenderedPageBreak/>
        <w:t>into the food. Furthermore, migrants need to become bioavailable t</w:t>
      </w:r>
      <w:r w:rsidR="00D418AC">
        <w:t xml:space="preserve">o be able to </w:t>
      </w:r>
      <w:r w:rsidR="003C4523" w:rsidRPr="00262117">
        <w:t>cause (mutagenic) effects. Consultation</w:t>
      </w:r>
      <w:r w:rsidR="00171631" w:rsidRPr="00262117">
        <w:t xml:space="preserve"> of the combined inventory described in 2.4. shows that</w:t>
      </w:r>
      <w:r w:rsidR="00AE751C" w:rsidRPr="00262117">
        <w:t xml:space="preserve"> migration into food </w:t>
      </w:r>
      <w:r w:rsidR="00A65756">
        <w:t xml:space="preserve">followed by oral </w:t>
      </w:r>
      <w:r w:rsidR="00AE751C" w:rsidRPr="00262117">
        <w:t xml:space="preserve">bioavailability </w:t>
      </w:r>
      <w:r w:rsidR="00A65756">
        <w:t>is very</w:t>
      </w:r>
      <w:r w:rsidR="00AE751C" w:rsidRPr="00262117">
        <w:t xml:space="preserve"> likely for all </w:t>
      </w:r>
      <w:r w:rsidR="00D418AC">
        <w:t xml:space="preserve">these </w:t>
      </w:r>
      <w:r w:rsidR="00AE751C" w:rsidRPr="00262117">
        <w:t>53 compounds (</w:t>
      </w:r>
      <w:r w:rsidR="00520496">
        <w:rPr>
          <w:b/>
        </w:rPr>
        <w:t>Table 5</w:t>
      </w:r>
      <w:r w:rsidR="00AE751C" w:rsidRPr="00262117">
        <w:t>).</w:t>
      </w:r>
      <w:r w:rsidR="00AE751C">
        <w:t xml:space="preserve"> </w:t>
      </w:r>
      <w:r w:rsidR="004E7ACA">
        <w:t>T</w:t>
      </w:r>
      <w:r w:rsidR="00A65756">
        <w:t>he combination of</w:t>
      </w:r>
      <w:r w:rsidR="00EF352D">
        <w:t xml:space="preserve"> the specific</w:t>
      </w:r>
      <w:r w:rsidR="00A65756">
        <w:t xml:space="preserve"> physicochemical param</w:t>
      </w:r>
      <w:r w:rsidR="0027427E">
        <w:t>e</w:t>
      </w:r>
      <w:r w:rsidR="00A65756">
        <w:t xml:space="preserve">ters </w:t>
      </w:r>
      <w:r w:rsidR="00123FAC">
        <w:t>considere</w:t>
      </w:r>
      <w:r w:rsidR="00A65756">
        <w:t>d in the current study has not</w:t>
      </w:r>
      <w:r w:rsidR="00123FAC">
        <w:t xml:space="preserve"> yet</w:t>
      </w:r>
      <w:r w:rsidR="00A65756">
        <w:t xml:space="preserve"> been described elsewhere, </w:t>
      </w:r>
      <w:r w:rsidR="004E7ACA">
        <w:t xml:space="preserve">nevertheless </w:t>
      </w:r>
      <w:r w:rsidR="00A65756">
        <w:t xml:space="preserve">all </w:t>
      </w:r>
      <w:r w:rsidR="004E7ACA">
        <w:t>are historically known</w:t>
      </w:r>
      <w:r w:rsidR="00A65756">
        <w:t xml:space="preserve"> as being indicative for migration and/or oral bioavailability</w:t>
      </w:r>
      <w:r w:rsidR="00123FAC">
        <w:t xml:space="preserve"> (Van Bossuyt et al., 2016)</w:t>
      </w:r>
      <w:r w:rsidR="00A65756">
        <w:t xml:space="preserve">. </w:t>
      </w:r>
      <w:r w:rsidR="004E7ACA">
        <w:t>In line with</w:t>
      </w:r>
      <w:r w:rsidR="0080377E">
        <w:t xml:space="preserve"> the precautionary principle</w:t>
      </w:r>
      <w:r w:rsidR="004E7ACA">
        <w:t>,</w:t>
      </w:r>
      <w:r w:rsidR="00CD4E13">
        <w:t xml:space="preserve"> </w:t>
      </w:r>
      <w:r w:rsidR="00EF352D">
        <w:t xml:space="preserve">a combination of these parameters is </w:t>
      </w:r>
      <w:r w:rsidR="00CD4E13">
        <w:t xml:space="preserve">thus </w:t>
      </w:r>
      <w:r w:rsidR="00EF352D">
        <w:t>highly relevant</w:t>
      </w:r>
      <w:r w:rsidR="00F41887">
        <w:t xml:space="preserve">. </w:t>
      </w:r>
      <w:r w:rsidR="00323945">
        <w:t>Ideally, a</w:t>
      </w:r>
      <w:r w:rsidR="00B304F4">
        <w:t>n</w:t>
      </w:r>
      <w:r w:rsidR="0080377E">
        <w:t xml:space="preserve"> elaborate migra</w:t>
      </w:r>
      <w:r w:rsidR="00323945">
        <w:t xml:space="preserve">tion and bioavailability model </w:t>
      </w:r>
      <w:r w:rsidR="00B22A7C">
        <w:t>could</w:t>
      </w:r>
      <w:r w:rsidR="0080377E">
        <w:t xml:space="preserve"> </w:t>
      </w:r>
      <w:r w:rsidR="00E676AC">
        <w:t>contribute to</w:t>
      </w:r>
      <w:r w:rsidR="0080377E">
        <w:t xml:space="preserve"> a more complete picture</w:t>
      </w:r>
      <w:r w:rsidR="00F41887">
        <w:t xml:space="preserve">, however so far no generally </w:t>
      </w:r>
      <w:r w:rsidR="00323945">
        <w:t>accepted</w:t>
      </w:r>
      <w:r w:rsidR="00F41887">
        <w:t xml:space="preserve"> model is available</w:t>
      </w:r>
      <w:r w:rsidR="00EF352D">
        <w:t>.</w:t>
      </w:r>
    </w:p>
    <w:p w14:paraId="14DA2227" w14:textId="1A9DBA87" w:rsidR="003C3FF2" w:rsidRDefault="00B55915" w:rsidP="00786395">
      <w:pPr>
        <w:spacing w:after="0" w:line="480" w:lineRule="auto"/>
        <w:jc w:val="both"/>
      </w:pPr>
      <w:r>
        <w:t>Beside</w:t>
      </w:r>
      <w:r w:rsidR="0017577A">
        <w:t>s</w:t>
      </w:r>
      <w:r w:rsidR="00924F55">
        <w:t xml:space="preserve"> the</w:t>
      </w:r>
      <w:r w:rsidR="00D56895">
        <w:t xml:space="preserve"> </w:t>
      </w:r>
      <w:r w:rsidR="00041B3E">
        <w:t xml:space="preserve">53 </w:t>
      </w:r>
      <w:r w:rsidR="00D56895">
        <w:t xml:space="preserve">experimental </w:t>
      </w:r>
      <w:r>
        <w:t xml:space="preserve">Ames </w:t>
      </w:r>
      <w:r w:rsidR="00D56895">
        <w:t>positives</w:t>
      </w:r>
      <w:r>
        <w:t xml:space="preserve">, </w:t>
      </w:r>
      <w:r w:rsidR="00EA071E">
        <w:t xml:space="preserve">for </w:t>
      </w:r>
      <w:r>
        <w:t>another</w:t>
      </w:r>
      <w:r w:rsidR="00D833E4">
        <w:t xml:space="preserve"> </w:t>
      </w:r>
      <w:r w:rsidR="00D56895">
        <w:t>5</w:t>
      </w:r>
      <w:r w:rsidR="00041B3E">
        <w:t>3</w:t>
      </w:r>
      <w:r w:rsidR="00D56895">
        <w:t xml:space="preserve"> </w:t>
      </w:r>
      <w:r w:rsidR="00A26E35">
        <w:t xml:space="preserve">substances no experimental </w:t>
      </w:r>
      <w:r w:rsidR="00171631">
        <w:t>data</w:t>
      </w:r>
      <w:r w:rsidR="00A26E35">
        <w:t xml:space="preserve"> are available in the </w:t>
      </w:r>
      <w:r w:rsidR="00262117">
        <w:t>(Q)SAR</w:t>
      </w:r>
      <w:r w:rsidR="00A26E35">
        <w:t xml:space="preserve"> systems</w:t>
      </w:r>
      <w:r w:rsidR="007F1251">
        <w:t xml:space="preserve"> (</w:t>
      </w:r>
      <w:r w:rsidR="00520496">
        <w:rPr>
          <w:b/>
        </w:rPr>
        <w:t>Table 4</w:t>
      </w:r>
      <w:r w:rsidR="007F1251" w:rsidRPr="007F1251">
        <w:rPr>
          <w:b/>
        </w:rPr>
        <w:t>b</w:t>
      </w:r>
      <w:r w:rsidR="007F1251">
        <w:t>)</w:t>
      </w:r>
      <w:r w:rsidR="00D56895">
        <w:t>.</w:t>
      </w:r>
      <w:r w:rsidR="00ED2C02">
        <w:t xml:space="preserve"> </w:t>
      </w:r>
      <w:r w:rsidR="0017577A">
        <w:t xml:space="preserve">Subsequently, their </w:t>
      </w:r>
      <w:r w:rsidR="005556C6" w:rsidRPr="005556C6">
        <w:t>experimental</w:t>
      </w:r>
      <w:r w:rsidR="0017577A" w:rsidRPr="005556C6">
        <w:t xml:space="preserve"> </w:t>
      </w:r>
      <w:r w:rsidR="0017577A">
        <w:t xml:space="preserve">mutagenicity potential should be investigated urgently. </w:t>
      </w:r>
      <w:r w:rsidR="001666D3">
        <w:t>A</w:t>
      </w:r>
      <w:r w:rsidR="00171631">
        <w:t>ll of the</w:t>
      </w:r>
      <w:r w:rsidR="00262117">
        <w:t>m</w:t>
      </w:r>
      <w:r w:rsidR="00171631">
        <w:t xml:space="preserve"> are likely to migrate into food due to </w:t>
      </w:r>
      <w:r w:rsidR="00171631" w:rsidRPr="00171631">
        <w:t xml:space="preserve">a molecular weight </w:t>
      </w:r>
      <w:r w:rsidR="001666D3">
        <w:t>below 1000</w:t>
      </w:r>
      <w:r w:rsidR="00171631" w:rsidRPr="00171631">
        <w:t xml:space="preserve"> g/mol</w:t>
      </w:r>
      <w:r w:rsidR="00171631">
        <w:t>, and at least 4</w:t>
      </w:r>
      <w:r w:rsidR="001666D3">
        <w:t>2</w:t>
      </w:r>
      <w:r w:rsidR="00171631">
        <w:t xml:space="preserve"> </w:t>
      </w:r>
      <w:r w:rsidR="00D418AC">
        <w:t xml:space="preserve">out of the 53 </w:t>
      </w:r>
      <w:r w:rsidR="00171631">
        <w:t>meet typical criteria for bioavailability (</w:t>
      </w:r>
      <w:r w:rsidR="00520496">
        <w:rPr>
          <w:b/>
        </w:rPr>
        <w:t>Table 5</w:t>
      </w:r>
      <w:r w:rsidR="00171631">
        <w:t>)</w:t>
      </w:r>
      <w:r w:rsidR="00212FA4">
        <w:t>.</w:t>
      </w:r>
    </w:p>
    <w:p w14:paraId="0F5CE80B" w14:textId="77777777" w:rsidR="00212FA4" w:rsidRDefault="00212FA4" w:rsidP="00B430B3">
      <w:pPr>
        <w:spacing w:after="0" w:line="480" w:lineRule="auto"/>
        <w:ind w:left="-284"/>
        <w:jc w:val="both"/>
      </w:pPr>
    </w:p>
    <w:p w14:paraId="74CA2B82" w14:textId="77076652" w:rsidR="003F1895" w:rsidRDefault="008B57DD" w:rsidP="003F1895">
      <w:pPr>
        <w:keepNext/>
        <w:widowControl w:val="0"/>
        <w:spacing w:after="0" w:line="480" w:lineRule="auto"/>
        <w:jc w:val="both"/>
        <w:rPr>
          <w:sz w:val="20"/>
        </w:rPr>
      </w:pPr>
      <w:r w:rsidRPr="008B57DD">
        <w:rPr>
          <w:sz w:val="20"/>
        </w:rPr>
        <w:t xml:space="preserve">Table </w:t>
      </w:r>
      <w:r w:rsidR="00520496">
        <w:rPr>
          <w:sz w:val="20"/>
        </w:rPr>
        <w:t>5</w:t>
      </w:r>
      <w:r w:rsidR="00224333">
        <w:rPr>
          <w:sz w:val="20"/>
        </w:rPr>
        <w:t xml:space="preserve">. </w:t>
      </w:r>
      <w:r w:rsidR="00EE67C4">
        <w:rPr>
          <w:sz w:val="20"/>
        </w:rPr>
        <w:t xml:space="preserve"> </w:t>
      </w:r>
      <w:r w:rsidRPr="008B57DD">
        <w:rPr>
          <w:sz w:val="20"/>
        </w:rPr>
        <w:t xml:space="preserve">Distribution of non-evaluated </w:t>
      </w:r>
      <w:r w:rsidR="00212FA4" w:rsidRPr="008B57DD">
        <w:rPr>
          <w:sz w:val="20"/>
        </w:rPr>
        <w:t>printed p</w:t>
      </w:r>
      <w:r w:rsidR="00212FA4">
        <w:rPr>
          <w:sz w:val="20"/>
        </w:rPr>
        <w:t xml:space="preserve">aper and board FCM </w:t>
      </w:r>
      <w:r>
        <w:rPr>
          <w:sz w:val="20"/>
        </w:rPr>
        <w:t>priority</w:t>
      </w:r>
      <w:r w:rsidRPr="008B57DD">
        <w:rPr>
          <w:sz w:val="20"/>
        </w:rPr>
        <w:t xml:space="preserve"> substances </w:t>
      </w:r>
      <w:r w:rsidR="00224333">
        <w:rPr>
          <w:sz w:val="20"/>
        </w:rPr>
        <w:t>according to</w:t>
      </w:r>
    </w:p>
    <w:p w14:paraId="5337E8ED" w14:textId="4E6AE4F4" w:rsidR="008B57DD" w:rsidRPr="008B57DD" w:rsidRDefault="003F1895" w:rsidP="003F1895">
      <w:pPr>
        <w:keepNext/>
        <w:widowControl w:val="0"/>
        <w:spacing w:after="0" w:line="480" w:lineRule="auto"/>
        <w:ind w:left="720"/>
        <w:jc w:val="both"/>
        <w:rPr>
          <w:sz w:val="20"/>
        </w:rPr>
      </w:pPr>
      <w:r>
        <w:rPr>
          <w:sz w:val="20"/>
        </w:rPr>
        <w:t>physico</w:t>
      </w:r>
      <w:r w:rsidR="008B57DD" w:rsidRPr="008B57DD">
        <w:rPr>
          <w:sz w:val="20"/>
        </w:rPr>
        <w:t>chemical parameters related to migration and bioavailability</w:t>
      </w:r>
      <w:r w:rsidR="00EE67C4">
        <w:rPr>
          <w:sz w:val="20"/>
        </w:rPr>
        <w:t xml:space="preserve">. Substances with results below </w:t>
      </w:r>
      <w:r w:rsidR="008B57DD" w:rsidRPr="008B57DD">
        <w:rPr>
          <w:sz w:val="20"/>
        </w:rPr>
        <w:t>the cut-off are likely to migrate (in the case of</w:t>
      </w:r>
      <w:r w:rsidR="00EA071E">
        <w:rPr>
          <w:sz w:val="20"/>
        </w:rPr>
        <w:t xml:space="preserve"> low</w:t>
      </w:r>
      <w:r w:rsidR="008B57DD" w:rsidRPr="008B57DD">
        <w:rPr>
          <w:sz w:val="20"/>
        </w:rPr>
        <w:t xml:space="preserve"> molecular weight) or become bioavailable (</w:t>
      </w:r>
      <w:r w:rsidR="00212FA4">
        <w:rPr>
          <w:sz w:val="20"/>
        </w:rPr>
        <w:t xml:space="preserve">other </w:t>
      </w:r>
      <w:r w:rsidR="008B57DD" w:rsidRPr="008B57DD">
        <w:rPr>
          <w:sz w:val="20"/>
        </w:rPr>
        <w:t>cases)</w:t>
      </w:r>
      <w:r w:rsidR="00212FA4">
        <w:rPr>
          <w:sz w:val="20"/>
        </w:rPr>
        <w:t>.</w:t>
      </w:r>
      <w:r w:rsidR="008B57DD" w:rsidRPr="008B57DD">
        <w:rPr>
          <w:sz w:val="20"/>
        </w:rPr>
        <w:t xml:space="preserve"> </w:t>
      </w:r>
    </w:p>
    <w:tbl>
      <w:tblPr>
        <w:tblStyle w:val="TableGrid1"/>
        <w:tblW w:w="88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51"/>
        <w:gridCol w:w="425"/>
        <w:gridCol w:w="851"/>
        <w:gridCol w:w="425"/>
        <w:gridCol w:w="992"/>
        <w:gridCol w:w="426"/>
        <w:gridCol w:w="850"/>
        <w:gridCol w:w="425"/>
        <w:gridCol w:w="709"/>
      </w:tblGrid>
      <w:tr w:rsidR="00A64307" w:rsidRPr="008B57DD" w14:paraId="2439BD9D" w14:textId="56A8752C" w:rsidTr="00026882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FA663" w14:textId="77777777" w:rsidR="00A64307" w:rsidRPr="008B57DD" w:rsidRDefault="00A64307" w:rsidP="008B57DD">
            <w:pPr>
              <w:spacing w:line="480" w:lineRule="auto"/>
              <w:contextualSpacing/>
              <w:rPr>
                <w:sz w:val="18"/>
                <w:szCs w:val="20"/>
              </w:rPr>
            </w:pPr>
            <w:r w:rsidRPr="008B57DD">
              <w:rPr>
                <w:sz w:val="18"/>
                <w:szCs w:val="20"/>
              </w:rPr>
              <w:t>Parameter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F915" w14:textId="77777777" w:rsidR="00A64307" w:rsidRPr="008B57DD" w:rsidRDefault="00A64307" w:rsidP="00262117">
            <w:pPr>
              <w:spacing w:line="480" w:lineRule="auto"/>
              <w:contextualSpacing/>
              <w:rPr>
                <w:sz w:val="18"/>
                <w:szCs w:val="20"/>
              </w:rPr>
            </w:pPr>
            <w:r w:rsidRPr="008B57DD">
              <w:rPr>
                <w:sz w:val="18"/>
                <w:szCs w:val="20"/>
              </w:rPr>
              <w:t>Cut-off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681A8" w14:textId="4BC1E30B" w:rsidR="00A64307" w:rsidRPr="008B57DD" w:rsidRDefault="00A64307" w:rsidP="002F14EE">
            <w:pPr>
              <w:spacing w:line="480" w:lineRule="auto"/>
              <w:ind w:right="145"/>
              <w:contextualSpacing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≤ cut-off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B372C" w14:textId="7EEB6F04" w:rsidR="00A64307" w:rsidRPr="008B57DD" w:rsidRDefault="00A64307" w:rsidP="00A64307">
            <w:pPr>
              <w:spacing w:line="480" w:lineRule="auto"/>
              <w:contextualSpacing/>
              <w:rPr>
                <w:sz w:val="18"/>
                <w:szCs w:val="20"/>
              </w:rPr>
            </w:pPr>
            <w:r w:rsidRPr="008B57DD">
              <w:rPr>
                <w:sz w:val="18"/>
                <w:szCs w:val="20"/>
              </w:rPr>
              <w:t>&gt; c</w:t>
            </w:r>
            <w:r>
              <w:rPr>
                <w:sz w:val="18"/>
                <w:szCs w:val="20"/>
              </w:rPr>
              <w:t>ut-off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1944D" w14:textId="76402629" w:rsidR="00A64307" w:rsidRPr="008B57DD" w:rsidRDefault="00A64307" w:rsidP="00262117">
            <w:pPr>
              <w:spacing w:line="480" w:lineRule="auto"/>
              <w:contextualSpacing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≤ cut-off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40243" w14:textId="6E8A212E" w:rsidR="00A64307" w:rsidRPr="008B57DD" w:rsidRDefault="00A64307" w:rsidP="00A64307">
            <w:pPr>
              <w:spacing w:line="480" w:lineRule="auto"/>
              <w:contextualSpacing/>
              <w:rPr>
                <w:sz w:val="18"/>
                <w:szCs w:val="20"/>
              </w:rPr>
            </w:pPr>
            <w:r w:rsidRPr="008B57DD">
              <w:rPr>
                <w:sz w:val="18"/>
                <w:szCs w:val="20"/>
              </w:rPr>
              <w:t>&gt; c</w:t>
            </w:r>
            <w:r>
              <w:rPr>
                <w:sz w:val="18"/>
                <w:szCs w:val="20"/>
              </w:rPr>
              <w:t>ut-off</w:t>
            </w:r>
          </w:p>
        </w:tc>
      </w:tr>
      <w:tr w:rsidR="00A64307" w:rsidRPr="008B57DD" w14:paraId="092106F2" w14:textId="09F77FB0" w:rsidTr="00026882">
        <w:tc>
          <w:tcPr>
            <w:tcW w:w="2269" w:type="dxa"/>
            <w:tcBorders>
              <w:top w:val="single" w:sz="4" w:space="0" w:color="auto"/>
              <w:bottom w:val="nil"/>
            </w:tcBorders>
            <w:vAlign w:val="center"/>
          </w:tcPr>
          <w:p w14:paraId="562BE7A2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  <w:vAlign w:val="center"/>
          </w:tcPr>
          <w:p w14:paraId="6D620325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nil"/>
            </w:tcBorders>
          </w:tcPr>
          <w:p w14:paraId="6ED7EB69" w14:textId="53C4D885" w:rsidR="00A64307" w:rsidRPr="00D41C5F" w:rsidRDefault="00A64307" w:rsidP="00A64307">
            <w:pPr>
              <w:spacing w:line="480" w:lineRule="auto"/>
              <w:jc w:val="center"/>
              <w:rPr>
                <w:rFonts w:ascii="Calibri" w:hAnsi="Calibri"/>
                <w:b/>
                <w:i/>
                <w:sz w:val="18"/>
                <w:szCs w:val="20"/>
              </w:rPr>
            </w:pPr>
            <w:r w:rsidRPr="00D41C5F">
              <w:rPr>
                <w:rFonts w:ascii="Calibri" w:hAnsi="Calibri"/>
                <w:b/>
                <w:i/>
                <w:sz w:val="18"/>
                <w:szCs w:val="20"/>
              </w:rPr>
              <w:t xml:space="preserve">53 experimental </w:t>
            </w:r>
            <w:r>
              <w:rPr>
                <w:rFonts w:ascii="Calibri" w:hAnsi="Calibri"/>
                <w:b/>
                <w:i/>
                <w:sz w:val="18"/>
                <w:szCs w:val="20"/>
              </w:rPr>
              <w:t>Ames positives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</w:tcPr>
          <w:p w14:paraId="76EA3104" w14:textId="7723914E" w:rsidR="00A64307" w:rsidRPr="00D41C5F" w:rsidRDefault="00A64307" w:rsidP="00D41C5F">
            <w:pPr>
              <w:spacing w:line="480" w:lineRule="auto"/>
              <w:jc w:val="center"/>
              <w:rPr>
                <w:rFonts w:ascii="Calibri" w:hAnsi="Calibri"/>
                <w:b/>
                <w:i/>
                <w:sz w:val="18"/>
                <w:szCs w:val="20"/>
              </w:rPr>
            </w:pPr>
            <w:r w:rsidRPr="00D41C5F">
              <w:rPr>
                <w:rFonts w:ascii="Calibri" w:hAnsi="Calibri"/>
                <w:b/>
                <w:i/>
                <w:sz w:val="18"/>
                <w:szCs w:val="20"/>
              </w:rPr>
              <w:t>53 experimental unknown</w:t>
            </w:r>
          </w:p>
        </w:tc>
      </w:tr>
      <w:tr w:rsidR="00A64307" w:rsidRPr="008B57DD" w14:paraId="25CCF7DE" w14:textId="11675B7F" w:rsidTr="00026882"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14:paraId="489F5CBD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24B59DE5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6772EDC" w14:textId="434DD25F" w:rsidR="00A64307" w:rsidRDefault="00A64307" w:rsidP="003D1ECD">
            <w:pPr>
              <w:spacing w:line="480" w:lineRule="auto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D9181" w14:textId="1B8C4E5F" w:rsidR="00A64307" w:rsidRDefault="00A64307" w:rsidP="003D1EC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9086E2" w14:textId="59998C10" w:rsidR="00A64307" w:rsidRPr="00016245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2DE1C4" w14:textId="729F3845" w:rsidR="00A64307" w:rsidRPr="00016245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F1A38FA" w14:textId="34C982F7" w:rsidR="00A64307" w:rsidRDefault="00A64307" w:rsidP="007F1251">
            <w:pPr>
              <w:ind w:right="-40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3C7746" w14:textId="1604FA5E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3DA1C69" w14:textId="18007D91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2DBFF9" w14:textId="65DDEFE0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%</w:t>
            </w:r>
          </w:p>
        </w:tc>
      </w:tr>
      <w:tr w:rsidR="00A64307" w:rsidRPr="008B57DD" w14:paraId="4E2D76BC" w14:textId="072A8D13" w:rsidTr="00026882"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14:paraId="53142923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 w:rsidRPr="008B57DD">
              <w:rPr>
                <w:rFonts w:ascii="Calibri" w:hAnsi="Calibri"/>
                <w:sz w:val="18"/>
                <w:szCs w:val="20"/>
              </w:rPr>
              <w:t>Molecular weight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14:paraId="477AF889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 w:rsidRPr="008B57DD">
              <w:rPr>
                <w:rFonts w:ascii="Calibri" w:hAnsi="Calibri"/>
                <w:sz w:val="18"/>
                <w:szCs w:val="20"/>
              </w:rPr>
              <w:t xml:space="preserve">1000 g/mol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39D6AEC" w14:textId="13159CB4" w:rsidR="00A64307" w:rsidRPr="008B57DD" w:rsidRDefault="00A64307" w:rsidP="003D1ECD">
            <w:pPr>
              <w:spacing w:line="480" w:lineRule="auto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0A2903" w14:textId="1DBE1CF2" w:rsidR="00A64307" w:rsidRDefault="00A64307" w:rsidP="003D1EC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AE72C6" w14:textId="383918AA" w:rsidR="00A64307" w:rsidRPr="00016245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BC21CA" w14:textId="0173F26D" w:rsidR="00A64307" w:rsidRPr="00016245" w:rsidRDefault="00A64307" w:rsidP="003D1ECD">
            <w:pPr>
              <w:spacing w:after="200" w:line="276" w:lineRule="auto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E0B28D0" w14:textId="5805AB35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A8A296" w14:textId="6C85FFE5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5A37DB" w14:textId="01E996EB" w:rsidR="00A64307" w:rsidRDefault="005C08A5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72CEAC" w14:textId="794F779B" w:rsidR="00A64307" w:rsidRDefault="005C08A5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A64307" w:rsidRPr="008B57DD" w14:paraId="0A7EF8B7" w14:textId="7D6F5BDF" w:rsidTr="00026882">
        <w:tc>
          <w:tcPr>
            <w:tcW w:w="2269" w:type="dxa"/>
            <w:tcBorders>
              <w:top w:val="nil"/>
            </w:tcBorders>
            <w:vAlign w:val="center"/>
          </w:tcPr>
          <w:p w14:paraId="4130E0C4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 w:rsidRPr="008B57DD">
              <w:rPr>
                <w:rFonts w:ascii="Calibri" w:hAnsi="Calibri"/>
                <w:sz w:val="18"/>
                <w:szCs w:val="20"/>
              </w:rPr>
              <w:t>Lipinski rule of 5 violations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0B2B8A36" w14:textId="77777777" w:rsidR="00A64307" w:rsidRPr="008B57DD" w:rsidRDefault="00A64307" w:rsidP="008B57DD">
            <w:pPr>
              <w:spacing w:line="480" w:lineRule="auto"/>
              <w:rPr>
                <w:sz w:val="18"/>
                <w:szCs w:val="20"/>
              </w:rPr>
            </w:pPr>
            <w:r w:rsidRPr="008B57DD">
              <w:rPr>
                <w:rFonts w:ascii="Calibri" w:hAnsi="Calibri"/>
                <w:sz w:val="18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061E647" w14:textId="4CD5189D" w:rsidR="00A64307" w:rsidRPr="008B57DD" w:rsidRDefault="00A64307" w:rsidP="003D1ECD">
            <w:pPr>
              <w:spacing w:line="480" w:lineRule="auto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</w:tcBorders>
          </w:tcPr>
          <w:p w14:paraId="1FAC3EBC" w14:textId="2169300E" w:rsidR="00A64307" w:rsidRDefault="00A64307" w:rsidP="003D1EC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</w:tcBorders>
          </w:tcPr>
          <w:p w14:paraId="328A3293" w14:textId="5827E9B5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14:paraId="38A2C8AB" w14:textId="7971354F" w:rsidR="00A64307" w:rsidRPr="00016245" w:rsidRDefault="00A64307" w:rsidP="003D1ECD">
            <w:pPr>
              <w:spacing w:after="200" w:line="276" w:lineRule="auto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14:paraId="01AED14D" w14:textId="6BB6E6C1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</w:tcBorders>
          </w:tcPr>
          <w:p w14:paraId="6AA113EC" w14:textId="62BF6FF9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</w:tcBorders>
          </w:tcPr>
          <w:p w14:paraId="5832BA84" w14:textId="78AC6507" w:rsidR="00A64307" w:rsidRDefault="005C08A5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</w:tcPr>
          <w:p w14:paraId="34246D7A" w14:textId="08ACA7B8" w:rsidR="00A64307" w:rsidRDefault="005C08A5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</w:tr>
      <w:tr w:rsidR="00A64307" w:rsidRPr="008B57DD" w14:paraId="2CE9720B" w14:textId="7488B7B6" w:rsidTr="00026882">
        <w:tc>
          <w:tcPr>
            <w:tcW w:w="2269" w:type="dxa"/>
            <w:tcBorders>
              <w:bottom w:val="nil"/>
            </w:tcBorders>
            <w:vAlign w:val="center"/>
          </w:tcPr>
          <w:p w14:paraId="44184BBD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 w:rsidRPr="008B57DD">
              <w:rPr>
                <w:rFonts w:ascii="Calibri" w:hAnsi="Calibri"/>
                <w:sz w:val="18"/>
                <w:szCs w:val="20"/>
              </w:rPr>
              <w:t>Polar surface area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14:paraId="731E6188" w14:textId="1329FC72" w:rsidR="00A64307" w:rsidRPr="00EA071E" w:rsidRDefault="00A64307" w:rsidP="008B57DD">
            <w:pPr>
              <w:spacing w:line="480" w:lineRule="auto"/>
              <w:rPr>
                <w:sz w:val="18"/>
                <w:szCs w:val="20"/>
                <w:vertAlign w:val="superscript"/>
              </w:rPr>
            </w:pPr>
            <w:r w:rsidRPr="008B57DD">
              <w:rPr>
                <w:rFonts w:ascii="Calibri" w:hAnsi="Calibri"/>
                <w:sz w:val="18"/>
                <w:szCs w:val="20"/>
              </w:rPr>
              <w:t>140 Angström</w:t>
            </w:r>
            <w:r w:rsidR="00EA071E">
              <w:rPr>
                <w:rFonts w:ascii="Calibri" w:hAnsi="Calibri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6F90905F" w14:textId="3DA07CE4" w:rsidR="00A64307" w:rsidRPr="008B57DD" w:rsidRDefault="00A64307" w:rsidP="003D1ECD">
            <w:pPr>
              <w:spacing w:line="480" w:lineRule="auto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851" w:type="dxa"/>
            <w:tcBorders>
              <w:bottom w:val="nil"/>
            </w:tcBorders>
          </w:tcPr>
          <w:p w14:paraId="53B5EA64" w14:textId="5B654F24" w:rsidR="00A64307" w:rsidRDefault="00A64307" w:rsidP="003D1EC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98</w:t>
            </w:r>
          </w:p>
        </w:tc>
        <w:tc>
          <w:tcPr>
            <w:tcW w:w="425" w:type="dxa"/>
            <w:tcBorders>
              <w:bottom w:val="nil"/>
            </w:tcBorders>
          </w:tcPr>
          <w:p w14:paraId="23BC076D" w14:textId="0E3DA1BF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3D9E8A14" w14:textId="0B2A865C" w:rsidR="00A64307" w:rsidRPr="00016245" w:rsidRDefault="00A64307" w:rsidP="003D1ECD">
            <w:pPr>
              <w:spacing w:after="200" w:line="276" w:lineRule="auto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</w:tcPr>
          <w:p w14:paraId="5ED3E094" w14:textId="65379904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850" w:type="dxa"/>
            <w:tcBorders>
              <w:bottom w:val="nil"/>
            </w:tcBorders>
          </w:tcPr>
          <w:p w14:paraId="77BF577F" w14:textId="20F62E6F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</w:t>
            </w:r>
          </w:p>
        </w:tc>
        <w:tc>
          <w:tcPr>
            <w:tcW w:w="425" w:type="dxa"/>
            <w:tcBorders>
              <w:bottom w:val="nil"/>
            </w:tcBorders>
          </w:tcPr>
          <w:p w14:paraId="490E8D87" w14:textId="62AB0027" w:rsidR="00A64307" w:rsidRDefault="005C08A5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14:paraId="3BFCAB84" w14:textId="5531CEDA" w:rsidR="00A64307" w:rsidRDefault="005C08A5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</w:tr>
      <w:tr w:rsidR="00A64307" w:rsidRPr="008B57DD" w14:paraId="0E9948FE" w14:textId="674CBE18" w:rsidTr="00026882">
        <w:trPr>
          <w:trHeight w:val="264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vAlign w:val="center"/>
          </w:tcPr>
          <w:p w14:paraId="12C8DAC7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 w:rsidRPr="008B57DD">
              <w:rPr>
                <w:rFonts w:ascii="Calibri" w:hAnsi="Calibri"/>
                <w:sz w:val="18"/>
                <w:szCs w:val="20"/>
              </w:rPr>
              <w:t>Rotating bonds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14:paraId="3E7DC269" w14:textId="77777777" w:rsidR="00A64307" w:rsidRPr="008B57DD" w:rsidRDefault="00A64307" w:rsidP="008B57D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 w:rsidRPr="008B57DD">
              <w:rPr>
                <w:rFonts w:ascii="Calibri" w:hAnsi="Calibri"/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7997FFDF" w14:textId="71BA38BE" w:rsidR="00A64307" w:rsidRPr="008B57DD" w:rsidRDefault="00A64307" w:rsidP="003D1ECD">
            <w:pPr>
              <w:spacing w:line="480" w:lineRule="auto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F84D66" w14:textId="589A11E9" w:rsidR="00A64307" w:rsidRDefault="00A64307" w:rsidP="003D1ECD">
            <w:pPr>
              <w:spacing w:line="480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60EBBE77" w14:textId="6D72C4EC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DE73751" w14:textId="66F975D6" w:rsidR="00A64307" w:rsidRPr="00016245" w:rsidRDefault="00A64307" w:rsidP="003D1ECD">
            <w:pPr>
              <w:spacing w:after="200" w:line="276" w:lineRule="auto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BFB6776" w14:textId="1F601518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90F8A97" w14:textId="4415F91C" w:rsidR="00A64307" w:rsidRDefault="00A64307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C8B4A75" w14:textId="72D9769B" w:rsidR="00A64307" w:rsidRDefault="005C08A5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6258214" w14:textId="1BA80A5A" w:rsidR="00A64307" w:rsidRDefault="005C08A5" w:rsidP="003D1ECD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</w:tr>
    </w:tbl>
    <w:p w14:paraId="29594FD8" w14:textId="77777777" w:rsidR="00520F28" w:rsidRDefault="00520F28" w:rsidP="00B65EAD">
      <w:pPr>
        <w:spacing w:after="0" w:line="480" w:lineRule="auto"/>
        <w:jc w:val="both"/>
      </w:pPr>
    </w:p>
    <w:p w14:paraId="58944984" w14:textId="3AC84C43" w:rsidR="006C2634" w:rsidRDefault="00A56143" w:rsidP="00F94AD3">
      <w:pPr>
        <w:keepNext/>
        <w:keepLines/>
        <w:widowControl w:val="0"/>
        <w:spacing w:after="0" w:line="480" w:lineRule="auto"/>
        <w:jc w:val="both"/>
      </w:pPr>
      <w:r>
        <w:lastRenderedPageBreak/>
        <w:t>The majority</w:t>
      </w:r>
      <w:r w:rsidR="003E2B84">
        <w:t xml:space="preserve"> (</w:t>
      </w:r>
      <w:r w:rsidR="002F60C2">
        <w:t>99</w:t>
      </w:r>
      <w:r w:rsidR="003E2B84">
        <w:t xml:space="preserve">) </w:t>
      </w:r>
      <w:r>
        <w:t xml:space="preserve">of </w:t>
      </w:r>
      <w:r w:rsidR="005556C6">
        <w:t>the 106 priority compounds</w:t>
      </w:r>
      <w:r>
        <w:t xml:space="preserve"> </w:t>
      </w:r>
      <w:r w:rsidR="003E2B84">
        <w:t>are printing i</w:t>
      </w:r>
      <w:r w:rsidR="004E7D50">
        <w:t>nk substances, in many cases (29</w:t>
      </w:r>
      <w:r w:rsidR="003E2B84">
        <w:t>) pigments or dyes</w:t>
      </w:r>
      <w:r w:rsidR="00C84607">
        <w:t xml:space="preserve"> </w:t>
      </w:r>
      <w:r w:rsidR="002F60C2" w:rsidRPr="00C44740">
        <w:t>(</w:t>
      </w:r>
      <w:r w:rsidR="00520496">
        <w:rPr>
          <w:b/>
        </w:rPr>
        <w:t>T</w:t>
      </w:r>
      <w:r w:rsidR="006C2634" w:rsidRPr="006C2634">
        <w:rPr>
          <w:b/>
        </w:rPr>
        <w:t xml:space="preserve">able </w:t>
      </w:r>
      <w:r w:rsidR="00520496">
        <w:rPr>
          <w:b/>
        </w:rPr>
        <w:t>4</w:t>
      </w:r>
      <w:r w:rsidR="006C2634" w:rsidRPr="006C2634">
        <w:rPr>
          <w:b/>
        </w:rPr>
        <w:t>a and b</w:t>
      </w:r>
      <w:r w:rsidR="002F60C2">
        <w:t xml:space="preserve">). </w:t>
      </w:r>
      <w:r w:rsidR="00BA02AB">
        <w:t xml:space="preserve">It </w:t>
      </w:r>
      <w:r w:rsidR="00DA347E">
        <w:t>can</w:t>
      </w:r>
      <w:r w:rsidR="00BA02AB">
        <w:t xml:space="preserve"> be noted that in the context of food contamination with non-plastic FCM, in particular constituents of printing inks </w:t>
      </w:r>
      <w:r w:rsidR="00212CDB">
        <w:t>are</w:t>
      </w:r>
      <w:r w:rsidR="00BA02AB">
        <w:t xml:space="preserve"> found as a major conta</w:t>
      </w:r>
      <w:r w:rsidR="00B37117">
        <w:t>mination source. This is among</w:t>
      </w:r>
      <w:r w:rsidR="00BA02AB">
        <w:t xml:space="preserve"> others reflected in a high number of notifications through the Rapid Alert System for Food and Feed (RASFF) (European Commission, 2016</w:t>
      </w:r>
      <w:r w:rsidR="00F45A6F">
        <w:t>a</w:t>
      </w:r>
      <w:r w:rsidR="00BA02AB">
        <w:t>; Lago et al</w:t>
      </w:r>
      <w:r w:rsidR="00212CDB">
        <w:t>.</w:t>
      </w:r>
      <w:r w:rsidR="00BA02AB">
        <w:t>, 2015).</w:t>
      </w:r>
      <w:r w:rsidR="00BA0E03">
        <w:t xml:space="preserve"> </w:t>
      </w:r>
      <w:r w:rsidR="00212CDB">
        <w:t>Up to now</w:t>
      </w:r>
      <w:r w:rsidR="00BA0E03">
        <w:t>, the latter notifications mainly concern photo-initiators</w:t>
      </w:r>
      <w:r w:rsidR="0045076E">
        <w:t xml:space="preserve"> originating from the UV-curing treatment of printing inks</w:t>
      </w:r>
      <w:r w:rsidR="00DB3B3F">
        <w:t xml:space="preserve">. </w:t>
      </w:r>
    </w:p>
    <w:p w14:paraId="4BD53388" w14:textId="77777777" w:rsidR="004C18CD" w:rsidRDefault="004C18CD" w:rsidP="006C2634">
      <w:pPr>
        <w:keepNext/>
        <w:spacing w:after="0" w:line="480" w:lineRule="auto"/>
        <w:jc w:val="both"/>
        <w:rPr>
          <w:sz w:val="20"/>
        </w:rPr>
        <w:sectPr w:rsidR="004C18CD" w:rsidSect="002B17D2">
          <w:footerReference w:type="default" r:id="rId21"/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10B32AC" w14:textId="3593478F" w:rsidR="00A740C6" w:rsidRDefault="00520496" w:rsidP="00A61814">
      <w:pPr>
        <w:keepNext/>
        <w:spacing w:after="0" w:line="480" w:lineRule="auto"/>
        <w:ind w:left="1440" w:hanging="1440"/>
        <w:jc w:val="both"/>
      </w:pPr>
      <w:r>
        <w:rPr>
          <w:sz w:val="20"/>
        </w:rPr>
        <w:lastRenderedPageBreak/>
        <w:t>Table 4</w:t>
      </w:r>
      <w:r w:rsidR="006C2634" w:rsidRPr="00417E73">
        <w:rPr>
          <w:sz w:val="20"/>
        </w:rPr>
        <w:t xml:space="preserve">a. </w:t>
      </w:r>
      <w:r w:rsidR="00C44740">
        <w:rPr>
          <w:sz w:val="20"/>
        </w:rPr>
        <w:tab/>
      </w:r>
      <w:r w:rsidR="006C2634" w:rsidRPr="00417E73">
        <w:rPr>
          <w:sz w:val="20"/>
        </w:rPr>
        <w:t xml:space="preserve">Overview of </w:t>
      </w:r>
      <w:r w:rsidR="00FD7373">
        <w:rPr>
          <w:sz w:val="20"/>
        </w:rPr>
        <w:t>substances,</w:t>
      </w:r>
      <w:r w:rsidR="00FD7373" w:rsidRPr="00FD7373">
        <w:rPr>
          <w:sz w:val="20"/>
        </w:rPr>
        <w:t xml:space="preserve"> listed for use in printed paper and board FCM, predicted positive for Ames mutagenicity in 4 (Q)SAR tools and </w:t>
      </w:r>
      <w:r w:rsidR="00417E73" w:rsidRPr="00417E73">
        <w:rPr>
          <w:sz w:val="20"/>
        </w:rPr>
        <w:t>confirmed</w:t>
      </w:r>
      <w:r w:rsidR="006C2634" w:rsidRPr="00417E73">
        <w:rPr>
          <w:sz w:val="20"/>
        </w:rPr>
        <w:t xml:space="preserve"> Ames mutagen</w:t>
      </w:r>
      <w:r w:rsidR="00417E73" w:rsidRPr="00417E73">
        <w:rPr>
          <w:sz w:val="20"/>
        </w:rPr>
        <w:t xml:space="preserve">s </w:t>
      </w:r>
      <w:r w:rsidR="00FD7373">
        <w:rPr>
          <w:sz w:val="20"/>
        </w:rPr>
        <w:t>according to (Q)SAR model training data</w:t>
      </w:r>
      <w:r w:rsidR="00417E73" w:rsidRPr="00417E73">
        <w:rPr>
          <w:sz w:val="20"/>
        </w:rPr>
        <w:t>.</w:t>
      </w:r>
      <w:r w:rsidR="00C44740">
        <w:rPr>
          <w:sz w:val="20"/>
        </w:rPr>
        <w:t xml:space="preserve"> </w:t>
      </w:r>
      <w:r w:rsidR="00C44740">
        <w:rPr>
          <w:sz w:val="20"/>
        </w:rPr>
        <w:tab/>
      </w:r>
      <w:r w:rsidR="00A740C6">
        <w:rPr>
          <w:sz w:val="20"/>
        </w:rPr>
        <w:t>* aromatic azo compound predicted positive in 1 local QSAR, ** aromatic azo compound predicted positive in 2 local QSARs.</w:t>
      </w:r>
    </w:p>
    <w:tbl>
      <w:tblPr>
        <w:tblStyle w:val="TableGrid"/>
        <w:tblW w:w="1545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662"/>
        <w:gridCol w:w="1667"/>
        <w:gridCol w:w="5846"/>
      </w:tblGrid>
      <w:tr w:rsidR="00516D6E" w14:paraId="1A4DD5FD" w14:textId="77777777" w:rsidTr="00516D6E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51C7E" w14:textId="10B57C4A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417E73">
              <w:rPr>
                <w:sz w:val="18"/>
                <w:szCs w:val="18"/>
              </w:rPr>
              <w:t>CAS number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D80A" w14:textId="2604F559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417E73">
              <w:rPr>
                <w:sz w:val="18"/>
                <w:szCs w:val="18"/>
              </w:rPr>
              <w:t>Chemical name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109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417E73">
              <w:rPr>
                <w:sz w:val="18"/>
                <w:szCs w:val="18"/>
              </w:rPr>
              <w:t>FACET number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75C53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417E73">
              <w:rPr>
                <w:sz w:val="18"/>
                <w:szCs w:val="18"/>
              </w:rPr>
              <w:t>Use in FCM</w:t>
            </w:r>
          </w:p>
        </w:tc>
      </w:tr>
      <w:tr w:rsidR="00516D6E" w14:paraId="3C29925B" w14:textId="77777777" w:rsidTr="00516D6E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685F7A98" w14:textId="1D6DEFB0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57-14-7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37170BB9" w14:textId="2162DA5A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</w:t>
            </w:r>
            <w:r w:rsidRPr="00417E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</w:t>
            </w:r>
            <w:r w:rsidRPr="00417E73">
              <w:rPr>
                <w:sz w:val="18"/>
                <w:szCs w:val="18"/>
              </w:rPr>
              <w:t>imethyl</w:t>
            </w:r>
            <w:r>
              <w:rPr>
                <w:sz w:val="18"/>
                <w:szCs w:val="18"/>
              </w:rPr>
              <w:t>hydrazine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78840024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5914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14:paraId="7B064F9F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0525DCD3" w14:textId="77777777" w:rsidTr="00516D6E">
        <w:tc>
          <w:tcPr>
            <w:tcW w:w="1277" w:type="dxa"/>
            <w:vAlign w:val="center"/>
          </w:tcPr>
          <w:p w14:paraId="3CB1F5C7" w14:textId="1D90ED62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74-87-3</w:t>
            </w:r>
          </w:p>
        </w:tc>
        <w:tc>
          <w:tcPr>
            <w:tcW w:w="6662" w:type="dxa"/>
            <w:vAlign w:val="center"/>
          </w:tcPr>
          <w:p w14:paraId="21E06FD2" w14:textId="31EF197F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Chloromethane</w:t>
            </w:r>
          </w:p>
        </w:tc>
        <w:tc>
          <w:tcPr>
            <w:tcW w:w="1667" w:type="dxa"/>
            <w:vAlign w:val="center"/>
          </w:tcPr>
          <w:p w14:paraId="2998DF23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6081</w:t>
            </w:r>
          </w:p>
        </w:tc>
        <w:tc>
          <w:tcPr>
            <w:tcW w:w="5846" w:type="dxa"/>
            <w:vAlign w:val="center"/>
          </w:tcPr>
          <w:p w14:paraId="68B50FA3" w14:textId="77777777" w:rsidR="00516D6E" w:rsidRPr="00417E73" w:rsidRDefault="00516D6E" w:rsidP="00D526D5">
            <w:pPr>
              <w:spacing w:line="480" w:lineRule="auto"/>
              <w:rPr>
                <w:sz w:val="18"/>
                <w:szCs w:val="18"/>
              </w:rPr>
            </w:pPr>
            <w:r w:rsidRPr="00D526D5">
              <w:rPr>
                <w:sz w:val="18"/>
                <w:szCs w:val="18"/>
              </w:rPr>
              <w:t>Monomer in printing ink</w:t>
            </w:r>
            <w:r>
              <w:rPr>
                <w:sz w:val="18"/>
                <w:szCs w:val="18"/>
              </w:rPr>
              <w:t xml:space="preserve"> and additive in paper and board</w:t>
            </w:r>
          </w:p>
        </w:tc>
      </w:tr>
      <w:tr w:rsidR="00516D6E" w14:paraId="12C8C08F" w14:textId="77777777" w:rsidTr="00516D6E">
        <w:tc>
          <w:tcPr>
            <w:tcW w:w="1277" w:type="dxa"/>
            <w:vAlign w:val="center"/>
          </w:tcPr>
          <w:p w14:paraId="23056AEA" w14:textId="5BEF9627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75-00-3</w:t>
            </w:r>
          </w:p>
        </w:tc>
        <w:tc>
          <w:tcPr>
            <w:tcW w:w="6662" w:type="dxa"/>
            <w:vAlign w:val="center"/>
          </w:tcPr>
          <w:p w14:paraId="189540C1" w14:textId="122EA891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Chloroethane</w:t>
            </w:r>
          </w:p>
        </w:tc>
        <w:tc>
          <w:tcPr>
            <w:tcW w:w="1667" w:type="dxa"/>
            <w:vAlign w:val="center"/>
          </w:tcPr>
          <w:p w14:paraId="65202BF5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5491</w:t>
            </w:r>
          </w:p>
        </w:tc>
        <w:tc>
          <w:tcPr>
            <w:tcW w:w="5846" w:type="dxa"/>
            <w:vAlign w:val="center"/>
          </w:tcPr>
          <w:p w14:paraId="1E433158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D526D5">
              <w:rPr>
                <w:sz w:val="18"/>
                <w:szCs w:val="18"/>
              </w:rPr>
              <w:t>Monomer in printing ink</w:t>
            </w:r>
          </w:p>
        </w:tc>
      </w:tr>
      <w:tr w:rsidR="00516D6E" w14:paraId="5019376E" w14:textId="77777777" w:rsidTr="00516D6E">
        <w:tc>
          <w:tcPr>
            <w:tcW w:w="1277" w:type="dxa"/>
            <w:vAlign w:val="center"/>
          </w:tcPr>
          <w:p w14:paraId="2A3010E6" w14:textId="11602FEF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75-55-8</w:t>
            </w:r>
          </w:p>
        </w:tc>
        <w:tc>
          <w:tcPr>
            <w:tcW w:w="6662" w:type="dxa"/>
            <w:vAlign w:val="center"/>
          </w:tcPr>
          <w:p w14:paraId="3A8FDB48" w14:textId="21E35B3E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2-Methylaziridine</w:t>
            </w:r>
          </w:p>
        </w:tc>
        <w:tc>
          <w:tcPr>
            <w:tcW w:w="1667" w:type="dxa"/>
            <w:vAlign w:val="center"/>
          </w:tcPr>
          <w:p w14:paraId="08FF196D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</w:t>
            </w:r>
          </w:p>
        </w:tc>
        <w:tc>
          <w:tcPr>
            <w:tcW w:w="5846" w:type="dxa"/>
            <w:vAlign w:val="center"/>
          </w:tcPr>
          <w:p w14:paraId="3D7F1A1A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2C8609CF" w14:textId="77777777" w:rsidTr="00516D6E">
        <w:tc>
          <w:tcPr>
            <w:tcW w:w="1277" w:type="dxa"/>
            <w:vAlign w:val="center"/>
          </w:tcPr>
          <w:p w14:paraId="08754431" w14:textId="321BAE87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77-78-1</w:t>
            </w:r>
          </w:p>
        </w:tc>
        <w:tc>
          <w:tcPr>
            <w:tcW w:w="6662" w:type="dxa"/>
            <w:vAlign w:val="center"/>
          </w:tcPr>
          <w:p w14:paraId="72704495" w14:textId="110503F3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Dimethyl sulphate</w:t>
            </w:r>
          </w:p>
        </w:tc>
        <w:tc>
          <w:tcPr>
            <w:tcW w:w="1667" w:type="dxa"/>
            <w:vAlign w:val="center"/>
          </w:tcPr>
          <w:p w14:paraId="2EC8EABB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7268</w:t>
            </w:r>
          </w:p>
        </w:tc>
        <w:tc>
          <w:tcPr>
            <w:tcW w:w="5846" w:type="dxa"/>
            <w:vAlign w:val="center"/>
          </w:tcPr>
          <w:p w14:paraId="6CE1C66C" w14:textId="77777777" w:rsidR="00516D6E" w:rsidRPr="00417E73" w:rsidRDefault="00516D6E" w:rsidP="000F1B59">
            <w:pPr>
              <w:spacing w:line="480" w:lineRule="auto"/>
              <w:rPr>
                <w:sz w:val="18"/>
                <w:szCs w:val="18"/>
              </w:rPr>
            </w:pPr>
            <w:r w:rsidRPr="00AF52F2">
              <w:rPr>
                <w:sz w:val="18"/>
                <w:szCs w:val="18"/>
              </w:rPr>
              <w:t>Monomer in printing ink</w:t>
            </w:r>
            <w:r>
              <w:rPr>
                <w:sz w:val="18"/>
                <w:szCs w:val="18"/>
              </w:rPr>
              <w:t>, paper and board and additive in paper and board</w:t>
            </w:r>
          </w:p>
        </w:tc>
      </w:tr>
      <w:tr w:rsidR="00516D6E" w14:paraId="733BD392" w14:textId="77777777" w:rsidTr="00516D6E">
        <w:tc>
          <w:tcPr>
            <w:tcW w:w="1277" w:type="dxa"/>
            <w:vAlign w:val="center"/>
          </w:tcPr>
          <w:p w14:paraId="5F75AAE2" w14:textId="6B034E8D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78-87-5</w:t>
            </w:r>
          </w:p>
        </w:tc>
        <w:tc>
          <w:tcPr>
            <w:tcW w:w="6662" w:type="dxa"/>
            <w:vAlign w:val="center"/>
          </w:tcPr>
          <w:p w14:paraId="2D330552" w14:textId="15C5C726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1,2-Dichloropropane</w:t>
            </w:r>
          </w:p>
        </w:tc>
        <w:tc>
          <w:tcPr>
            <w:tcW w:w="1667" w:type="dxa"/>
            <w:vAlign w:val="center"/>
          </w:tcPr>
          <w:p w14:paraId="0D47A38F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846" w:type="dxa"/>
            <w:vAlign w:val="center"/>
          </w:tcPr>
          <w:p w14:paraId="105A4CAA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paper and board</w:t>
            </w:r>
          </w:p>
        </w:tc>
      </w:tr>
      <w:tr w:rsidR="00516D6E" w14:paraId="7D6562A3" w14:textId="77777777" w:rsidTr="00516D6E">
        <w:tc>
          <w:tcPr>
            <w:tcW w:w="1277" w:type="dxa"/>
            <w:vAlign w:val="center"/>
          </w:tcPr>
          <w:p w14:paraId="164B5548" w14:textId="78E96B6F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78-94-4</w:t>
            </w:r>
          </w:p>
        </w:tc>
        <w:tc>
          <w:tcPr>
            <w:tcW w:w="6662" w:type="dxa"/>
            <w:vAlign w:val="center"/>
          </w:tcPr>
          <w:p w14:paraId="5930829F" w14:textId="40299524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Butenone</w:t>
            </w:r>
          </w:p>
        </w:tc>
        <w:tc>
          <w:tcPr>
            <w:tcW w:w="1667" w:type="dxa"/>
            <w:vAlign w:val="center"/>
          </w:tcPr>
          <w:p w14:paraId="3F2645C1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6090</w:t>
            </w:r>
          </w:p>
        </w:tc>
        <w:tc>
          <w:tcPr>
            <w:tcW w:w="5846" w:type="dxa"/>
            <w:vAlign w:val="center"/>
          </w:tcPr>
          <w:p w14:paraId="3A4ED59B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842DB0">
              <w:rPr>
                <w:sz w:val="18"/>
                <w:szCs w:val="18"/>
              </w:rPr>
              <w:t>Monomer in printing ink</w:t>
            </w:r>
          </w:p>
        </w:tc>
      </w:tr>
      <w:tr w:rsidR="00516D6E" w14:paraId="64CCD33C" w14:textId="77777777" w:rsidTr="00516D6E">
        <w:tc>
          <w:tcPr>
            <w:tcW w:w="1277" w:type="dxa"/>
            <w:vAlign w:val="center"/>
          </w:tcPr>
          <w:p w14:paraId="79199EE9" w14:textId="2DCB770A" w:rsidR="00516D6E" w:rsidRDefault="00516D6E" w:rsidP="004C18CD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80-40-0</w:t>
            </w:r>
          </w:p>
        </w:tc>
        <w:tc>
          <w:tcPr>
            <w:tcW w:w="6662" w:type="dxa"/>
            <w:vAlign w:val="center"/>
          </w:tcPr>
          <w:p w14:paraId="3586046C" w14:textId="63135E68" w:rsidR="00516D6E" w:rsidRPr="00417E73" w:rsidRDefault="00516D6E" w:rsidP="004C18C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Ethyl toluene-4-sulphonate</w:t>
            </w:r>
          </w:p>
        </w:tc>
        <w:tc>
          <w:tcPr>
            <w:tcW w:w="1667" w:type="dxa"/>
            <w:vAlign w:val="center"/>
          </w:tcPr>
          <w:p w14:paraId="3461B321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6903</w:t>
            </w:r>
          </w:p>
        </w:tc>
        <w:tc>
          <w:tcPr>
            <w:tcW w:w="5846" w:type="dxa"/>
            <w:vAlign w:val="center"/>
          </w:tcPr>
          <w:p w14:paraId="2321DA9F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</w:t>
            </w:r>
            <w:r w:rsidRPr="00842DB0">
              <w:rPr>
                <w:sz w:val="18"/>
                <w:szCs w:val="18"/>
              </w:rPr>
              <w:t xml:space="preserve"> in printing ink</w:t>
            </w:r>
          </w:p>
        </w:tc>
      </w:tr>
      <w:tr w:rsidR="00516D6E" w14:paraId="0E01CEE3" w14:textId="77777777" w:rsidTr="00516D6E">
        <w:tc>
          <w:tcPr>
            <w:tcW w:w="1277" w:type="dxa"/>
            <w:vAlign w:val="center"/>
          </w:tcPr>
          <w:p w14:paraId="751DB427" w14:textId="71A27BE5" w:rsidR="00516D6E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80-48-8</w:t>
            </w:r>
          </w:p>
        </w:tc>
        <w:tc>
          <w:tcPr>
            <w:tcW w:w="6662" w:type="dxa"/>
            <w:vAlign w:val="center"/>
          </w:tcPr>
          <w:p w14:paraId="20D09DF5" w14:textId="66F23665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Methyl toluene-4-sulphonate</w:t>
            </w:r>
          </w:p>
        </w:tc>
        <w:tc>
          <w:tcPr>
            <w:tcW w:w="1667" w:type="dxa"/>
            <w:vAlign w:val="center"/>
          </w:tcPr>
          <w:p w14:paraId="409C3827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846" w:type="dxa"/>
            <w:vAlign w:val="center"/>
          </w:tcPr>
          <w:p w14:paraId="4423019D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paper and board</w:t>
            </w:r>
          </w:p>
        </w:tc>
      </w:tr>
      <w:tr w:rsidR="00516D6E" w14:paraId="3D597103" w14:textId="77777777" w:rsidTr="00516D6E">
        <w:tc>
          <w:tcPr>
            <w:tcW w:w="1277" w:type="dxa"/>
            <w:vAlign w:val="center"/>
          </w:tcPr>
          <w:p w14:paraId="6AB2C042" w14:textId="0177E20D" w:rsidR="00516D6E" w:rsidRPr="004C18CD" w:rsidRDefault="00516D6E" w:rsidP="004C18CD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85-83-6</w:t>
            </w:r>
          </w:p>
        </w:tc>
        <w:tc>
          <w:tcPr>
            <w:tcW w:w="6662" w:type="dxa"/>
            <w:vAlign w:val="center"/>
          </w:tcPr>
          <w:p w14:paraId="766A8EB0" w14:textId="0F9538DA" w:rsidR="00516D6E" w:rsidRPr="00417E73" w:rsidRDefault="00516D6E" w:rsidP="004C18CD">
            <w:pPr>
              <w:spacing w:line="480" w:lineRule="auto"/>
              <w:rPr>
                <w:sz w:val="18"/>
                <w:szCs w:val="18"/>
              </w:rPr>
            </w:pPr>
            <w:r w:rsidRPr="004C18CD">
              <w:rPr>
                <w:sz w:val="18"/>
                <w:szCs w:val="18"/>
              </w:rPr>
              <w:t>1-(2-</w:t>
            </w:r>
            <w:r>
              <w:rPr>
                <w:sz w:val="18"/>
                <w:szCs w:val="18"/>
              </w:rPr>
              <w:t>M</w:t>
            </w:r>
            <w:r w:rsidRPr="004C18CD">
              <w:rPr>
                <w:sz w:val="18"/>
                <w:szCs w:val="18"/>
              </w:rPr>
              <w:t>ethyl-4-(2-methylphenylazo)phenylazo)-2-naphthol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67" w:type="dxa"/>
            <w:vAlign w:val="center"/>
          </w:tcPr>
          <w:p w14:paraId="64D80F00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846" w:type="dxa"/>
            <w:vAlign w:val="center"/>
          </w:tcPr>
          <w:p w14:paraId="4FC46B69" w14:textId="77777777" w:rsidR="00516D6E" w:rsidRPr="00417E73" w:rsidRDefault="00516D6E" w:rsidP="0009229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  <w:tr w:rsidR="00516D6E" w14:paraId="5D355834" w14:textId="77777777" w:rsidTr="00516D6E">
        <w:tc>
          <w:tcPr>
            <w:tcW w:w="1277" w:type="dxa"/>
            <w:vAlign w:val="center"/>
          </w:tcPr>
          <w:p w14:paraId="568BE7ED" w14:textId="6F27C8BD" w:rsidR="00516D6E" w:rsidRPr="0009229B" w:rsidRDefault="00516D6E" w:rsidP="0009229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85-86-9</w:t>
            </w:r>
          </w:p>
        </w:tc>
        <w:tc>
          <w:tcPr>
            <w:tcW w:w="6662" w:type="dxa"/>
            <w:vAlign w:val="center"/>
          </w:tcPr>
          <w:p w14:paraId="2B516013" w14:textId="6686A59A" w:rsidR="00516D6E" w:rsidRPr="00417E73" w:rsidRDefault="00516D6E" w:rsidP="0009229B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>1-(4-(</w:t>
            </w:r>
            <w:r>
              <w:rPr>
                <w:sz w:val="18"/>
                <w:szCs w:val="18"/>
              </w:rPr>
              <w:t>P</w:t>
            </w:r>
            <w:r w:rsidRPr="0009229B">
              <w:rPr>
                <w:sz w:val="18"/>
                <w:szCs w:val="18"/>
              </w:rPr>
              <w:t>henylazo)phenylazo)-2-naphthol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67" w:type="dxa"/>
            <w:vAlign w:val="center"/>
          </w:tcPr>
          <w:p w14:paraId="7938C9C6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846" w:type="dxa"/>
            <w:vAlign w:val="center"/>
          </w:tcPr>
          <w:p w14:paraId="12A19DF4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  <w:tr w:rsidR="00516D6E" w14:paraId="2FD90FEF" w14:textId="77777777" w:rsidTr="00516D6E">
        <w:tc>
          <w:tcPr>
            <w:tcW w:w="1277" w:type="dxa"/>
            <w:vAlign w:val="center"/>
          </w:tcPr>
          <w:p w14:paraId="3FA6545A" w14:textId="644CE775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96-23-1</w:t>
            </w:r>
          </w:p>
        </w:tc>
        <w:tc>
          <w:tcPr>
            <w:tcW w:w="6662" w:type="dxa"/>
            <w:vAlign w:val="center"/>
          </w:tcPr>
          <w:p w14:paraId="6285B66E" w14:textId="504D46EA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1,3-D</w:t>
            </w:r>
            <w:r w:rsidRPr="0009229B">
              <w:rPr>
                <w:sz w:val="18"/>
                <w:szCs w:val="18"/>
              </w:rPr>
              <w:t>ichloropropan-2-ol</w:t>
            </w:r>
          </w:p>
        </w:tc>
        <w:tc>
          <w:tcPr>
            <w:tcW w:w="1667" w:type="dxa"/>
            <w:vAlign w:val="center"/>
          </w:tcPr>
          <w:p w14:paraId="2C4F8B32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846" w:type="dxa"/>
            <w:vAlign w:val="center"/>
          </w:tcPr>
          <w:p w14:paraId="029BD8CE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paper and board</w:t>
            </w:r>
          </w:p>
        </w:tc>
      </w:tr>
      <w:tr w:rsidR="00516D6E" w14:paraId="09B7094E" w14:textId="77777777" w:rsidTr="00516D6E">
        <w:tc>
          <w:tcPr>
            <w:tcW w:w="1277" w:type="dxa"/>
            <w:vAlign w:val="center"/>
          </w:tcPr>
          <w:p w14:paraId="4D6EB2D0" w14:textId="75584EFD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98-88-4</w:t>
            </w:r>
          </w:p>
        </w:tc>
        <w:tc>
          <w:tcPr>
            <w:tcW w:w="6662" w:type="dxa"/>
            <w:vAlign w:val="center"/>
          </w:tcPr>
          <w:p w14:paraId="3545070A" w14:textId="6AFED643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Benzoyl chloride</w:t>
            </w:r>
          </w:p>
        </w:tc>
        <w:tc>
          <w:tcPr>
            <w:tcW w:w="1667" w:type="dxa"/>
            <w:vAlign w:val="center"/>
          </w:tcPr>
          <w:p w14:paraId="1036E6AC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</w:t>
            </w:r>
          </w:p>
        </w:tc>
        <w:tc>
          <w:tcPr>
            <w:tcW w:w="5846" w:type="dxa"/>
            <w:vAlign w:val="center"/>
          </w:tcPr>
          <w:p w14:paraId="253BFF1F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</w:t>
            </w:r>
            <w:r w:rsidRPr="00842DB0">
              <w:rPr>
                <w:sz w:val="18"/>
                <w:szCs w:val="18"/>
              </w:rPr>
              <w:t xml:space="preserve"> in printing ink</w:t>
            </w:r>
          </w:p>
        </w:tc>
      </w:tr>
      <w:tr w:rsidR="00516D6E" w14:paraId="04651D0C" w14:textId="77777777" w:rsidTr="00516D6E">
        <w:tc>
          <w:tcPr>
            <w:tcW w:w="1277" w:type="dxa"/>
            <w:vAlign w:val="center"/>
          </w:tcPr>
          <w:p w14:paraId="56D28C96" w14:textId="57DB37CB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100-44-7</w:t>
            </w:r>
          </w:p>
        </w:tc>
        <w:tc>
          <w:tcPr>
            <w:tcW w:w="6662" w:type="dxa"/>
            <w:vAlign w:val="center"/>
          </w:tcPr>
          <w:p w14:paraId="4DEC9BEC" w14:textId="2ACEB3C0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α-C</w:t>
            </w:r>
            <w:r w:rsidRPr="0009229B">
              <w:rPr>
                <w:sz w:val="18"/>
                <w:szCs w:val="18"/>
              </w:rPr>
              <w:t>hlorotoluene</w:t>
            </w:r>
          </w:p>
        </w:tc>
        <w:tc>
          <w:tcPr>
            <w:tcW w:w="1667" w:type="dxa"/>
            <w:vAlign w:val="center"/>
          </w:tcPr>
          <w:p w14:paraId="292782FE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7367</w:t>
            </w:r>
          </w:p>
        </w:tc>
        <w:tc>
          <w:tcPr>
            <w:tcW w:w="5846" w:type="dxa"/>
            <w:vAlign w:val="center"/>
          </w:tcPr>
          <w:p w14:paraId="6BD924C9" w14:textId="77777777" w:rsidR="00516D6E" w:rsidRPr="00417E73" w:rsidRDefault="00516D6E" w:rsidP="000F1B59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>Monomer in printing ink</w:t>
            </w:r>
            <w:r>
              <w:rPr>
                <w:sz w:val="18"/>
                <w:szCs w:val="18"/>
              </w:rPr>
              <w:t>,</w:t>
            </w:r>
            <w:r w:rsidRPr="0009229B">
              <w:rPr>
                <w:sz w:val="18"/>
                <w:szCs w:val="18"/>
              </w:rPr>
              <w:t xml:space="preserve"> paper and bo</w:t>
            </w:r>
            <w:r>
              <w:rPr>
                <w:sz w:val="18"/>
                <w:szCs w:val="18"/>
              </w:rPr>
              <w:t>ard</w:t>
            </w:r>
          </w:p>
        </w:tc>
      </w:tr>
      <w:tr w:rsidR="00516D6E" w14:paraId="5ACBB7D6" w14:textId="77777777" w:rsidTr="00516D6E">
        <w:tc>
          <w:tcPr>
            <w:tcW w:w="1277" w:type="dxa"/>
            <w:vAlign w:val="center"/>
          </w:tcPr>
          <w:p w14:paraId="4A6E4C5F" w14:textId="0FF85891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101-77-9</w:t>
            </w:r>
          </w:p>
        </w:tc>
        <w:tc>
          <w:tcPr>
            <w:tcW w:w="6662" w:type="dxa"/>
            <w:vAlign w:val="center"/>
          </w:tcPr>
          <w:p w14:paraId="361809BC" w14:textId="66684D6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4,4'-M</w:t>
            </w:r>
            <w:r w:rsidRPr="000D532D">
              <w:rPr>
                <w:sz w:val="18"/>
                <w:szCs w:val="18"/>
              </w:rPr>
              <w:t>ethylenedianiline</w:t>
            </w:r>
          </w:p>
        </w:tc>
        <w:tc>
          <w:tcPr>
            <w:tcW w:w="1667" w:type="dxa"/>
            <w:vAlign w:val="center"/>
          </w:tcPr>
          <w:p w14:paraId="7E307195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5846" w:type="dxa"/>
            <w:vAlign w:val="center"/>
          </w:tcPr>
          <w:p w14:paraId="23825A37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842DB0">
              <w:rPr>
                <w:sz w:val="18"/>
                <w:szCs w:val="18"/>
              </w:rPr>
              <w:t>Monomer in printing ink</w:t>
            </w:r>
          </w:p>
        </w:tc>
      </w:tr>
      <w:tr w:rsidR="00516D6E" w14:paraId="33194AE0" w14:textId="77777777" w:rsidTr="00516D6E">
        <w:tc>
          <w:tcPr>
            <w:tcW w:w="1277" w:type="dxa"/>
            <w:vAlign w:val="center"/>
          </w:tcPr>
          <w:p w14:paraId="0DB123F0" w14:textId="456A62C8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101-80-4</w:t>
            </w:r>
          </w:p>
        </w:tc>
        <w:tc>
          <w:tcPr>
            <w:tcW w:w="6662" w:type="dxa"/>
            <w:vAlign w:val="center"/>
          </w:tcPr>
          <w:p w14:paraId="54586E00" w14:textId="0474BE32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4,4'-O</w:t>
            </w:r>
            <w:r w:rsidRPr="000D532D">
              <w:rPr>
                <w:sz w:val="18"/>
                <w:szCs w:val="18"/>
              </w:rPr>
              <w:t>xydianiline</w:t>
            </w:r>
          </w:p>
        </w:tc>
        <w:tc>
          <w:tcPr>
            <w:tcW w:w="1667" w:type="dxa"/>
            <w:vAlign w:val="center"/>
          </w:tcPr>
          <w:p w14:paraId="6A5F0C09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4902</w:t>
            </w:r>
          </w:p>
        </w:tc>
        <w:tc>
          <w:tcPr>
            <w:tcW w:w="5846" w:type="dxa"/>
            <w:vAlign w:val="center"/>
          </w:tcPr>
          <w:p w14:paraId="5B5DA895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842DB0">
              <w:rPr>
                <w:sz w:val="18"/>
                <w:szCs w:val="18"/>
              </w:rPr>
              <w:t>Monomer in printing ink</w:t>
            </w:r>
          </w:p>
        </w:tc>
      </w:tr>
      <w:tr w:rsidR="00516D6E" w14:paraId="3D57F67F" w14:textId="77777777" w:rsidTr="00516D6E">
        <w:tc>
          <w:tcPr>
            <w:tcW w:w="1277" w:type="dxa"/>
            <w:vAlign w:val="center"/>
          </w:tcPr>
          <w:p w14:paraId="59128765" w14:textId="1D5C5DA9" w:rsidR="00516D6E" w:rsidRPr="000D532D" w:rsidRDefault="00516D6E" w:rsidP="000D532D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106-50-3</w:t>
            </w:r>
          </w:p>
        </w:tc>
        <w:tc>
          <w:tcPr>
            <w:tcW w:w="6662" w:type="dxa"/>
            <w:vAlign w:val="center"/>
          </w:tcPr>
          <w:p w14:paraId="6C5A38AE" w14:textId="5FBC6243" w:rsidR="00516D6E" w:rsidRPr="00417E73" w:rsidRDefault="00516D6E" w:rsidP="000D532D">
            <w:pPr>
              <w:spacing w:line="480" w:lineRule="auto"/>
              <w:rPr>
                <w:sz w:val="18"/>
                <w:szCs w:val="18"/>
              </w:rPr>
            </w:pPr>
            <w:r w:rsidRPr="000D532D">
              <w:rPr>
                <w:sz w:val="18"/>
                <w:szCs w:val="18"/>
              </w:rPr>
              <w:t>p-</w:t>
            </w:r>
            <w:r>
              <w:rPr>
                <w:sz w:val="18"/>
                <w:szCs w:val="18"/>
              </w:rPr>
              <w:t>P</w:t>
            </w:r>
            <w:r w:rsidRPr="000D532D">
              <w:rPr>
                <w:sz w:val="18"/>
                <w:szCs w:val="18"/>
              </w:rPr>
              <w:t>henylenediamine</w:t>
            </w:r>
          </w:p>
        </w:tc>
        <w:tc>
          <w:tcPr>
            <w:tcW w:w="1667" w:type="dxa"/>
            <w:vAlign w:val="center"/>
          </w:tcPr>
          <w:p w14:paraId="3B687204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6832</w:t>
            </w:r>
          </w:p>
        </w:tc>
        <w:tc>
          <w:tcPr>
            <w:tcW w:w="5846" w:type="dxa"/>
            <w:vAlign w:val="center"/>
          </w:tcPr>
          <w:p w14:paraId="30EADE1E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842DB0">
              <w:rPr>
                <w:sz w:val="18"/>
                <w:szCs w:val="18"/>
              </w:rPr>
              <w:t>Monomer in printing ink</w:t>
            </w:r>
          </w:p>
        </w:tc>
      </w:tr>
      <w:tr w:rsidR="00516D6E" w14:paraId="3AB14029" w14:textId="77777777" w:rsidTr="00516D6E">
        <w:tc>
          <w:tcPr>
            <w:tcW w:w="1277" w:type="dxa"/>
            <w:vAlign w:val="center"/>
          </w:tcPr>
          <w:p w14:paraId="72A8758A" w14:textId="7B81EF69" w:rsidR="00516D6E" w:rsidRPr="000D532D" w:rsidRDefault="00516D6E" w:rsidP="000D532D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106-87-6</w:t>
            </w:r>
          </w:p>
        </w:tc>
        <w:tc>
          <w:tcPr>
            <w:tcW w:w="6662" w:type="dxa"/>
            <w:vAlign w:val="center"/>
          </w:tcPr>
          <w:p w14:paraId="7298388E" w14:textId="36E10C7A" w:rsidR="00516D6E" w:rsidRPr="00417E73" w:rsidRDefault="00516D6E" w:rsidP="000D532D">
            <w:pPr>
              <w:spacing w:line="480" w:lineRule="auto"/>
              <w:rPr>
                <w:sz w:val="18"/>
                <w:szCs w:val="18"/>
              </w:rPr>
            </w:pPr>
            <w:r w:rsidRPr="000D532D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O</w:t>
            </w:r>
            <w:r w:rsidRPr="000D532D">
              <w:rPr>
                <w:sz w:val="18"/>
                <w:szCs w:val="18"/>
              </w:rPr>
              <w:t>xa-3-oxiranylbicyclo[4.1.0]heptane</w:t>
            </w:r>
          </w:p>
        </w:tc>
        <w:tc>
          <w:tcPr>
            <w:tcW w:w="1667" w:type="dxa"/>
            <w:vAlign w:val="center"/>
          </w:tcPr>
          <w:p w14:paraId="2EE56710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4456</w:t>
            </w:r>
          </w:p>
        </w:tc>
        <w:tc>
          <w:tcPr>
            <w:tcW w:w="5846" w:type="dxa"/>
            <w:vAlign w:val="center"/>
          </w:tcPr>
          <w:p w14:paraId="31AFA748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Solvent in printing ink</w:t>
            </w:r>
          </w:p>
        </w:tc>
      </w:tr>
      <w:tr w:rsidR="00516D6E" w14:paraId="5AC55B58" w14:textId="77777777" w:rsidTr="00516D6E">
        <w:tc>
          <w:tcPr>
            <w:tcW w:w="1277" w:type="dxa"/>
            <w:vAlign w:val="center"/>
          </w:tcPr>
          <w:p w14:paraId="25394EB7" w14:textId="42CA993D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106-88-7</w:t>
            </w:r>
          </w:p>
        </w:tc>
        <w:tc>
          <w:tcPr>
            <w:tcW w:w="6662" w:type="dxa"/>
            <w:vAlign w:val="center"/>
          </w:tcPr>
          <w:p w14:paraId="3CF737EA" w14:textId="43B22B70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1,2-E</w:t>
            </w:r>
            <w:r w:rsidRPr="000D532D">
              <w:rPr>
                <w:sz w:val="18"/>
                <w:szCs w:val="18"/>
              </w:rPr>
              <w:t>poxybutane</w:t>
            </w:r>
          </w:p>
        </w:tc>
        <w:tc>
          <w:tcPr>
            <w:tcW w:w="1667" w:type="dxa"/>
            <w:vAlign w:val="center"/>
          </w:tcPr>
          <w:p w14:paraId="0481F670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5094</w:t>
            </w:r>
          </w:p>
        </w:tc>
        <w:tc>
          <w:tcPr>
            <w:tcW w:w="5846" w:type="dxa"/>
            <w:vAlign w:val="center"/>
          </w:tcPr>
          <w:p w14:paraId="08D7D2F9" w14:textId="77777777" w:rsidR="00516D6E" w:rsidRPr="00417E73" w:rsidRDefault="00516D6E" w:rsidP="000F1B59">
            <w:pPr>
              <w:spacing w:line="480" w:lineRule="auto"/>
              <w:rPr>
                <w:sz w:val="18"/>
                <w:szCs w:val="18"/>
              </w:rPr>
            </w:pPr>
            <w:r w:rsidRPr="00AF52F2">
              <w:rPr>
                <w:sz w:val="18"/>
                <w:szCs w:val="18"/>
              </w:rPr>
              <w:t>Monomer in printing ink</w:t>
            </w:r>
            <w:r>
              <w:rPr>
                <w:sz w:val="18"/>
                <w:szCs w:val="18"/>
              </w:rPr>
              <w:t>, paper and board and additive in paper and board</w:t>
            </w:r>
          </w:p>
        </w:tc>
      </w:tr>
      <w:tr w:rsidR="00516D6E" w14:paraId="123367AC" w14:textId="77777777" w:rsidTr="00516D6E">
        <w:tc>
          <w:tcPr>
            <w:tcW w:w="1277" w:type="dxa"/>
            <w:vAlign w:val="center"/>
          </w:tcPr>
          <w:p w14:paraId="2C4B77A1" w14:textId="71658A01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106-90-1</w:t>
            </w:r>
          </w:p>
        </w:tc>
        <w:tc>
          <w:tcPr>
            <w:tcW w:w="6662" w:type="dxa"/>
            <w:vAlign w:val="center"/>
          </w:tcPr>
          <w:p w14:paraId="604E2458" w14:textId="228D92F5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2,3-E</w:t>
            </w:r>
            <w:r w:rsidRPr="00D81C9B">
              <w:rPr>
                <w:sz w:val="18"/>
                <w:szCs w:val="18"/>
              </w:rPr>
              <w:t>poxypropyl acrylate</w:t>
            </w:r>
          </w:p>
        </w:tc>
        <w:tc>
          <w:tcPr>
            <w:tcW w:w="1667" w:type="dxa"/>
            <w:vAlign w:val="center"/>
          </w:tcPr>
          <w:p w14:paraId="7F438D8F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2094</w:t>
            </w:r>
          </w:p>
        </w:tc>
        <w:tc>
          <w:tcPr>
            <w:tcW w:w="5846" w:type="dxa"/>
            <w:vAlign w:val="center"/>
          </w:tcPr>
          <w:p w14:paraId="5D9AAEDE" w14:textId="77777777" w:rsidR="00516D6E" w:rsidRPr="00417E73" w:rsidRDefault="00516D6E" w:rsidP="000F1B59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>Monomer in printing ink</w:t>
            </w:r>
            <w:r>
              <w:rPr>
                <w:sz w:val="18"/>
                <w:szCs w:val="18"/>
              </w:rPr>
              <w:t>,</w:t>
            </w:r>
            <w:r w:rsidRPr="0009229B">
              <w:rPr>
                <w:sz w:val="18"/>
                <w:szCs w:val="18"/>
              </w:rPr>
              <w:t xml:space="preserve"> paper and bo</w:t>
            </w:r>
            <w:r>
              <w:rPr>
                <w:sz w:val="18"/>
                <w:szCs w:val="18"/>
              </w:rPr>
              <w:t>ard</w:t>
            </w:r>
          </w:p>
        </w:tc>
      </w:tr>
      <w:tr w:rsidR="00516D6E" w14:paraId="7925E0C6" w14:textId="77777777" w:rsidTr="00516D6E">
        <w:tc>
          <w:tcPr>
            <w:tcW w:w="1277" w:type="dxa"/>
            <w:vAlign w:val="center"/>
          </w:tcPr>
          <w:p w14:paraId="38642FDB" w14:textId="5F6C4830" w:rsidR="00516D6E" w:rsidRPr="00D81C9B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106-92-3</w:t>
            </w:r>
          </w:p>
        </w:tc>
        <w:tc>
          <w:tcPr>
            <w:tcW w:w="6662" w:type="dxa"/>
            <w:vAlign w:val="center"/>
          </w:tcPr>
          <w:p w14:paraId="591CEFF9" w14:textId="66391EEC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D81C9B">
              <w:rPr>
                <w:sz w:val="18"/>
                <w:szCs w:val="18"/>
              </w:rPr>
              <w:t>Allyl 2,3-epoxypropyl ether</w:t>
            </w:r>
          </w:p>
        </w:tc>
        <w:tc>
          <w:tcPr>
            <w:tcW w:w="1667" w:type="dxa"/>
            <w:vAlign w:val="center"/>
          </w:tcPr>
          <w:p w14:paraId="1686BDF4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4807</w:t>
            </w:r>
          </w:p>
        </w:tc>
        <w:tc>
          <w:tcPr>
            <w:tcW w:w="5846" w:type="dxa"/>
            <w:vAlign w:val="center"/>
          </w:tcPr>
          <w:p w14:paraId="4A31F236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48C101E2" w14:textId="77777777" w:rsidTr="00516D6E">
        <w:tc>
          <w:tcPr>
            <w:tcW w:w="1277" w:type="dxa"/>
            <w:vAlign w:val="center"/>
          </w:tcPr>
          <w:p w14:paraId="110F399E" w14:textId="581A54FE" w:rsidR="00516D6E" w:rsidRPr="00D81C9B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107-02-8</w:t>
            </w:r>
          </w:p>
        </w:tc>
        <w:tc>
          <w:tcPr>
            <w:tcW w:w="6662" w:type="dxa"/>
            <w:vAlign w:val="center"/>
          </w:tcPr>
          <w:p w14:paraId="3D2CFFFE" w14:textId="768CC284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D81C9B">
              <w:rPr>
                <w:sz w:val="18"/>
                <w:szCs w:val="18"/>
              </w:rPr>
              <w:t>Acrylaldehyde</w:t>
            </w:r>
          </w:p>
        </w:tc>
        <w:tc>
          <w:tcPr>
            <w:tcW w:w="1667" w:type="dxa"/>
            <w:vAlign w:val="center"/>
          </w:tcPr>
          <w:p w14:paraId="0EFA0B28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4586</w:t>
            </w:r>
          </w:p>
        </w:tc>
        <w:tc>
          <w:tcPr>
            <w:tcW w:w="5846" w:type="dxa"/>
            <w:vAlign w:val="center"/>
          </w:tcPr>
          <w:p w14:paraId="298AB150" w14:textId="77777777" w:rsidR="00516D6E" w:rsidRPr="00417E73" w:rsidRDefault="00516D6E" w:rsidP="000F1B5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ink,</w:t>
            </w:r>
            <w:r w:rsidRPr="00D81C9B">
              <w:rPr>
                <w:sz w:val="18"/>
                <w:szCs w:val="18"/>
              </w:rPr>
              <w:t xml:space="preserve"> paper and board</w:t>
            </w:r>
          </w:p>
        </w:tc>
      </w:tr>
      <w:tr w:rsidR="00516D6E" w14:paraId="372F2E56" w14:textId="77777777" w:rsidTr="00516D6E">
        <w:tc>
          <w:tcPr>
            <w:tcW w:w="1277" w:type="dxa"/>
            <w:vAlign w:val="center"/>
          </w:tcPr>
          <w:p w14:paraId="0726BE9E" w14:textId="053B8246" w:rsidR="00516D6E" w:rsidRPr="00D81C9B" w:rsidRDefault="00516D6E" w:rsidP="00D81C9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107-05-1</w:t>
            </w:r>
          </w:p>
        </w:tc>
        <w:tc>
          <w:tcPr>
            <w:tcW w:w="6662" w:type="dxa"/>
            <w:vAlign w:val="center"/>
          </w:tcPr>
          <w:p w14:paraId="2F72214E" w14:textId="10221906" w:rsidR="00516D6E" w:rsidRPr="00417E73" w:rsidRDefault="00516D6E" w:rsidP="00D81C9B">
            <w:pPr>
              <w:spacing w:line="480" w:lineRule="auto"/>
              <w:rPr>
                <w:sz w:val="18"/>
                <w:szCs w:val="18"/>
              </w:rPr>
            </w:pPr>
            <w:r w:rsidRPr="00D81C9B"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>C</w:t>
            </w:r>
            <w:r w:rsidRPr="00D81C9B">
              <w:rPr>
                <w:sz w:val="18"/>
                <w:szCs w:val="18"/>
              </w:rPr>
              <w:t>hloropropene</w:t>
            </w:r>
          </w:p>
        </w:tc>
        <w:tc>
          <w:tcPr>
            <w:tcW w:w="1667" w:type="dxa"/>
            <w:vAlign w:val="center"/>
          </w:tcPr>
          <w:p w14:paraId="380E2B0F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6867</w:t>
            </w:r>
          </w:p>
        </w:tc>
        <w:tc>
          <w:tcPr>
            <w:tcW w:w="5846" w:type="dxa"/>
            <w:vAlign w:val="center"/>
          </w:tcPr>
          <w:p w14:paraId="12969DC4" w14:textId="77777777" w:rsidR="00516D6E" w:rsidRPr="00417E73" w:rsidRDefault="00516D6E" w:rsidP="000F1B59">
            <w:pPr>
              <w:spacing w:line="480" w:lineRule="auto"/>
              <w:rPr>
                <w:sz w:val="18"/>
                <w:szCs w:val="18"/>
              </w:rPr>
            </w:pPr>
            <w:r w:rsidRPr="00D81C9B">
              <w:rPr>
                <w:sz w:val="18"/>
                <w:szCs w:val="18"/>
              </w:rPr>
              <w:t>Monomer in printing ink</w:t>
            </w:r>
            <w:r>
              <w:rPr>
                <w:sz w:val="18"/>
                <w:szCs w:val="18"/>
              </w:rPr>
              <w:t>,</w:t>
            </w:r>
            <w:r w:rsidRPr="00D81C9B">
              <w:rPr>
                <w:sz w:val="18"/>
                <w:szCs w:val="18"/>
              </w:rPr>
              <w:t xml:space="preserve"> paper and board</w:t>
            </w:r>
          </w:p>
        </w:tc>
      </w:tr>
      <w:tr w:rsidR="00516D6E" w14:paraId="760770CB" w14:textId="77777777" w:rsidTr="00516D6E">
        <w:tc>
          <w:tcPr>
            <w:tcW w:w="1277" w:type="dxa"/>
            <w:vAlign w:val="center"/>
          </w:tcPr>
          <w:p w14:paraId="5A13D17D" w14:textId="57015D6B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107-07-3</w:t>
            </w:r>
          </w:p>
        </w:tc>
        <w:tc>
          <w:tcPr>
            <w:tcW w:w="6662" w:type="dxa"/>
            <w:vAlign w:val="center"/>
          </w:tcPr>
          <w:p w14:paraId="281173AF" w14:textId="746B792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2-C</w:t>
            </w:r>
            <w:r w:rsidRPr="00D81C9B">
              <w:rPr>
                <w:sz w:val="18"/>
                <w:szCs w:val="18"/>
              </w:rPr>
              <w:t>hloroethanol</w:t>
            </w:r>
          </w:p>
        </w:tc>
        <w:tc>
          <w:tcPr>
            <w:tcW w:w="1667" w:type="dxa"/>
            <w:vAlign w:val="center"/>
          </w:tcPr>
          <w:p w14:paraId="655CB87C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5471</w:t>
            </w:r>
          </w:p>
        </w:tc>
        <w:tc>
          <w:tcPr>
            <w:tcW w:w="5846" w:type="dxa"/>
            <w:vAlign w:val="center"/>
          </w:tcPr>
          <w:p w14:paraId="311E64A2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2F160224" w14:textId="77777777" w:rsidTr="00516D6E">
        <w:tc>
          <w:tcPr>
            <w:tcW w:w="1277" w:type="dxa"/>
            <w:vAlign w:val="center"/>
          </w:tcPr>
          <w:p w14:paraId="7401AF73" w14:textId="6A69AF3B" w:rsidR="00516D6E" w:rsidRPr="00D81C9B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111-44-4</w:t>
            </w:r>
          </w:p>
        </w:tc>
        <w:tc>
          <w:tcPr>
            <w:tcW w:w="6662" w:type="dxa"/>
            <w:vAlign w:val="center"/>
          </w:tcPr>
          <w:p w14:paraId="167F02B3" w14:textId="4558A012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D81C9B">
              <w:rPr>
                <w:sz w:val="18"/>
                <w:szCs w:val="18"/>
              </w:rPr>
              <w:t>Bis(2-chloroethyl) ether</w:t>
            </w:r>
          </w:p>
        </w:tc>
        <w:tc>
          <w:tcPr>
            <w:tcW w:w="1667" w:type="dxa"/>
            <w:vAlign w:val="center"/>
          </w:tcPr>
          <w:p w14:paraId="45E54041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5480</w:t>
            </w:r>
          </w:p>
        </w:tc>
        <w:tc>
          <w:tcPr>
            <w:tcW w:w="5846" w:type="dxa"/>
            <w:vAlign w:val="center"/>
          </w:tcPr>
          <w:p w14:paraId="06DEDECD" w14:textId="77777777" w:rsidR="00516D6E" w:rsidRPr="00417E73" w:rsidRDefault="00516D6E" w:rsidP="00D81C9B">
            <w:pPr>
              <w:spacing w:line="480" w:lineRule="auto"/>
              <w:rPr>
                <w:sz w:val="18"/>
                <w:szCs w:val="18"/>
              </w:rPr>
            </w:pPr>
            <w:r w:rsidRPr="00AF52F2">
              <w:rPr>
                <w:sz w:val="18"/>
                <w:szCs w:val="18"/>
              </w:rPr>
              <w:t>Monomer in printing ink</w:t>
            </w:r>
            <w:r>
              <w:rPr>
                <w:sz w:val="18"/>
                <w:szCs w:val="18"/>
              </w:rPr>
              <w:t xml:space="preserve"> and additive in paper and board</w:t>
            </w:r>
          </w:p>
        </w:tc>
      </w:tr>
      <w:tr w:rsidR="00516D6E" w14:paraId="4066B5A4" w14:textId="77777777" w:rsidTr="00516D6E">
        <w:tc>
          <w:tcPr>
            <w:tcW w:w="1277" w:type="dxa"/>
            <w:vAlign w:val="center"/>
          </w:tcPr>
          <w:p w14:paraId="520E77A0" w14:textId="737450B5" w:rsidR="00516D6E" w:rsidRPr="00D81C9B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111-64-8</w:t>
            </w:r>
          </w:p>
        </w:tc>
        <w:tc>
          <w:tcPr>
            <w:tcW w:w="6662" w:type="dxa"/>
            <w:vAlign w:val="center"/>
          </w:tcPr>
          <w:p w14:paraId="7A5CE43C" w14:textId="7FB4B19B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D81C9B">
              <w:rPr>
                <w:sz w:val="18"/>
                <w:szCs w:val="18"/>
              </w:rPr>
              <w:t>Octanoyl chloride</w:t>
            </w:r>
          </w:p>
        </w:tc>
        <w:tc>
          <w:tcPr>
            <w:tcW w:w="1667" w:type="dxa"/>
            <w:vAlign w:val="center"/>
          </w:tcPr>
          <w:p w14:paraId="770452B6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</w:t>
            </w:r>
          </w:p>
        </w:tc>
        <w:tc>
          <w:tcPr>
            <w:tcW w:w="5846" w:type="dxa"/>
            <w:vAlign w:val="center"/>
          </w:tcPr>
          <w:p w14:paraId="7BE5F7F7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5B3F8B1B" w14:textId="77777777" w:rsidTr="00516D6E">
        <w:tc>
          <w:tcPr>
            <w:tcW w:w="1277" w:type="dxa"/>
            <w:vAlign w:val="center"/>
          </w:tcPr>
          <w:p w14:paraId="54B8D8C7" w14:textId="50492DA2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122-60-1</w:t>
            </w:r>
          </w:p>
        </w:tc>
        <w:tc>
          <w:tcPr>
            <w:tcW w:w="6662" w:type="dxa"/>
            <w:vAlign w:val="center"/>
          </w:tcPr>
          <w:p w14:paraId="3F53389C" w14:textId="101019C2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2,3-E</w:t>
            </w:r>
            <w:r w:rsidRPr="00E46951">
              <w:rPr>
                <w:sz w:val="18"/>
                <w:szCs w:val="18"/>
              </w:rPr>
              <w:t>poxypropyl phenyl ether</w:t>
            </w:r>
          </w:p>
        </w:tc>
        <w:tc>
          <w:tcPr>
            <w:tcW w:w="1667" w:type="dxa"/>
            <w:vAlign w:val="center"/>
          </w:tcPr>
          <w:p w14:paraId="45A63F04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4128</w:t>
            </w:r>
          </w:p>
        </w:tc>
        <w:tc>
          <w:tcPr>
            <w:tcW w:w="5846" w:type="dxa"/>
            <w:vAlign w:val="center"/>
          </w:tcPr>
          <w:p w14:paraId="15CC5758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26FDE7BC" w14:textId="77777777" w:rsidTr="00516D6E">
        <w:tc>
          <w:tcPr>
            <w:tcW w:w="1277" w:type="dxa"/>
            <w:vAlign w:val="center"/>
          </w:tcPr>
          <w:p w14:paraId="76B09B9F" w14:textId="22687FB0" w:rsidR="00516D6E" w:rsidRPr="00E46951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123-73-9</w:t>
            </w:r>
          </w:p>
        </w:tc>
        <w:tc>
          <w:tcPr>
            <w:tcW w:w="6662" w:type="dxa"/>
            <w:vAlign w:val="center"/>
          </w:tcPr>
          <w:p w14:paraId="2FC8773B" w14:textId="52613810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E46951">
              <w:rPr>
                <w:sz w:val="18"/>
                <w:szCs w:val="18"/>
              </w:rPr>
              <w:t>(E)-crotonaldehyde</w:t>
            </w:r>
          </w:p>
        </w:tc>
        <w:tc>
          <w:tcPr>
            <w:tcW w:w="1667" w:type="dxa"/>
            <w:vAlign w:val="center"/>
          </w:tcPr>
          <w:p w14:paraId="768AB617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846" w:type="dxa"/>
            <w:vAlign w:val="center"/>
          </w:tcPr>
          <w:p w14:paraId="42789521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paper and board</w:t>
            </w:r>
          </w:p>
        </w:tc>
      </w:tr>
      <w:tr w:rsidR="00516D6E" w14:paraId="6F936964" w14:textId="77777777" w:rsidTr="00516D6E">
        <w:tc>
          <w:tcPr>
            <w:tcW w:w="1277" w:type="dxa"/>
            <w:vAlign w:val="center"/>
          </w:tcPr>
          <w:p w14:paraId="239ED647" w14:textId="1DF742A1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128-95-0</w:t>
            </w:r>
          </w:p>
        </w:tc>
        <w:tc>
          <w:tcPr>
            <w:tcW w:w="6662" w:type="dxa"/>
            <w:vAlign w:val="center"/>
          </w:tcPr>
          <w:p w14:paraId="75AFDB7B" w14:textId="704F0C7C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1,4-D</w:t>
            </w:r>
            <w:r w:rsidRPr="00F31BB1">
              <w:rPr>
                <w:sz w:val="18"/>
                <w:szCs w:val="18"/>
              </w:rPr>
              <w:t>iaminoanthraquinone</w:t>
            </w:r>
          </w:p>
        </w:tc>
        <w:tc>
          <w:tcPr>
            <w:tcW w:w="1667" w:type="dxa"/>
            <w:vAlign w:val="center"/>
          </w:tcPr>
          <w:p w14:paraId="3C9F2E07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846" w:type="dxa"/>
            <w:vAlign w:val="center"/>
          </w:tcPr>
          <w:p w14:paraId="41B59EA1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in printing ink</w:t>
            </w:r>
          </w:p>
        </w:tc>
      </w:tr>
      <w:tr w:rsidR="00516D6E" w14:paraId="6C43C2A6" w14:textId="77777777" w:rsidTr="00516D6E">
        <w:tc>
          <w:tcPr>
            <w:tcW w:w="1277" w:type="dxa"/>
            <w:vAlign w:val="center"/>
          </w:tcPr>
          <w:p w14:paraId="517A2F5B" w14:textId="31C3DD1A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130-15-4</w:t>
            </w:r>
          </w:p>
        </w:tc>
        <w:tc>
          <w:tcPr>
            <w:tcW w:w="6662" w:type="dxa"/>
            <w:vAlign w:val="center"/>
          </w:tcPr>
          <w:p w14:paraId="053F188B" w14:textId="1F8F248E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1,4-N</w:t>
            </w:r>
            <w:r w:rsidRPr="00DF265C">
              <w:rPr>
                <w:sz w:val="18"/>
                <w:szCs w:val="18"/>
              </w:rPr>
              <w:t>aphthoquinone</w:t>
            </w:r>
          </w:p>
        </w:tc>
        <w:tc>
          <w:tcPr>
            <w:tcW w:w="1667" w:type="dxa"/>
            <w:vAlign w:val="center"/>
          </w:tcPr>
          <w:p w14:paraId="0BA085A6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</w:t>
            </w:r>
          </w:p>
        </w:tc>
        <w:tc>
          <w:tcPr>
            <w:tcW w:w="5846" w:type="dxa"/>
            <w:vAlign w:val="center"/>
          </w:tcPr>
          <w:p w14:paraId="2833F4D1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539A3AEC" w14:textId="77777777" w:rsidTr="00516D6E">
        <w:tc>
          <w:tcPr>
            <w:tcW w:w="1277" w:type="dxa"/>
            <w:vAlign w:val="center"/>
          </w:tcPr>
          <w:p w14:paraId="21457750" w14:textId="4205F447" w:rsidR="00516D6E" w:rsidRPr="00DF265C" w:rsidRDefault="00516D6E" w:rsidP="00DF265C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140-95-4</w:t>
            </w:r>
          </w:p>
        </w:tc>
        <w:tc>
          <w:tcPr>
            <w:tcW w:w="6662" w:type="dxa"/>
            <w:vAlign w:val="center"/>
          </w:tcPr>
          <w:p w14:paraId="7E8F5A81" w14:textId="577792BE" w:rsidR="00516D6E" w:rsidRPr="00417E73" w:rsidRDefault="00516D6E" w:rsidP="00DF265C">
            <w:pPr>
              <w:spacing w:line="480" w:lineRule="auto"/>
              <w:rPr>
                <w:sz w:val="18"/>
                <w:szCs w:val="18"/>
              </w:rPr>
            </w:pPr>
            <w:r w:rsidRPr="00DF265C">
              <w:rPr>
                <w:sz w:val="18"/>
                <w:szCs w:val="18"/>
              </w:rPr>
              <w:t>1,3-</w:t>
            </w:r>
            <w:r>
              <w:rPr>
                <w:sz w:val="18"/>
                <w:szCs w:val="18"/>
              </w:rPr>
              <w:t>B</w:t>
            </w:r>
            <w:r w:rsidRPr="00DF265C">
              <w:rPr>
                <w:sz w:val="18"/>
                <w:szCs w:val="18"/>
              </w:rPr>
              <w:t>is(hydroxymethyl)urea</w:t>
            </w:r>
          </w:p>
        </w:tc>
        <w:tc>
          <w:tcPr>
            <w:tcW w:w="1667" w:type="dxa"/>
            <w:vAlign w:val="center"/>
          </w:tcPr>
          <w:p w14:paraId="1B3576E4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</w:t>
            </w:r>
          </w:p>
        </w:tc>
        <w:tc>
          <w:tcPr>
            <w:tcW w:w="5846" w:type="dxa"/>
            <w:vAlign w:val="center"/>
          </w:tcPr>
          <w:p w14:paraId="6D1ED9E6" w14:textId="77777777" w:rsidR="00516D6E" w:rsidRPr="00417E73" w:rsidRDefault="00516D6E" w:rsidP="000F1B5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ink, paper and board and monomer in paper and board</w:t>
            </w:r>
          </w:p>
        </w:tc>
      </w:tr>
      <w:tr w:rsidR="00516D6E" w14:paraId="3901001D" w14:textId="77777777" w:rsidTr="00516D6E">
        <w:tc>
          <w:tcPr>
            <w:tcW w:w="1277" w:type="dxa"/>
            <w:vAlign w:val="center"/>
          </w:tcPr>
          <w:p w14:paraId="53D4A2CC" w14:textId="79792CB8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286-20-4</w:t>
            </w:r>
          </w:p>
        </w:tc>
        <w:tc>
          <w:tcPr>
            <w:tcW w:w="6662" w:type="dxa"/>
            <w:vAlign w:val="center"/>
          </w:tcPr>
          <w:p w14:paraId="5ED35F00" w14:textId="00FF0E4F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1,2-E</w:t>
            </w:r>
            <w:r w:rsidRPr="000F1B59">
              <w:rPr>
                <w:sz w:val="18"/>
                <w:szCs w:val="18"/>
              </w:rPr>
              <w:t>poxycyclohexane</w:t>
            </w:r>
          </w:p>
        </w:tc>
        <w:tc>
          <w:tcPr>
            <w:tcW w:w="1667" w:type="dxa"/>
            <w:vAlign w:val="center"/>
          </w:tcPr>
          <w:p w14:paraId="3D622506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4457</w:t>
            </w:r>
          </w:p>
        </w:tc>
        <w:tc>
          <w:tcPr>
            <w:tcW w:w="5846" w:type="dxa"/>
            <w:vAlign w:val="center"/>
          </w:tcPr>
          <w:p w14:paraId="79331D89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75FE1BF6" w14:textId="77777777" w:rsidTr="00516D6E">
        <w:tc>
          <w:tcPr>
            <w:tcW w:w="1277" w:type="dxa"/>
            <w:vAlign w:val="center"/>
          </w:tcPr>
          <w:p w14:paraId="183B0ED9" w14:textId="38B58262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302-01-2</w:t>
            </w:r>
          </w:p>
        </w:tc>
        <w:tc>
          <w:tcPr>
            <w:tcW w:w="6662" w:type="dxa"/>
            <w:vAlign w:val="center"/>
          </w:tcPr>
          <w:p w14:paraId="766E2F60" w14:textId="1F764B7F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Hydrazine</w:t>
            </w:r>
          </w:p>
        </w:tc>
        <w:tc>
          <w:tcPr>
            <w:tcW w:w="1667" w:type="dxa"/>
            <w:vAlign w:val="center"/>
          </w:tcPr>
          <w:p w14:paraId="682A6EC5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</w:t>
            </w:r>
          </w:p>
        </w:tc>
        <w:tc>
          <w:tcPr>
            <w:tcW w:w="5846" w:type="dxa"/>
            <w:vAlign w:val="center"/>
          </w:tcPr>
          <w:p w14:paraId="3EE86F2E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3C1E64D0" w14:textId="77777777" w:rsidTr="00516D6E">
        <w:tc>
          <w:tcPr>
            <w:tcW w:w="1277" w:type="dxa"/>
            <w:vAlign w:val="center"/>
          </w:tcPr>
          <w:p w14:paraId="418FE99F" w14:textId="2657C6E4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556-52-5</w:t>
            </w:r>
          </w:p>
        </w:tc>
        <w:tc>
          <w:tcPr>
            <w:tcW w:w="6662" w:type="dxa"/>
            <w:vAlign w:val="center"/>
          </w:tcPr>
          <w:p w14:paraId="3083ADEB" w14:textId="2CB547CA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2,3-E</w:t>
            </w:r>
            <w:r w:rsidRPr="00BF5F25">
              <w:rPr>
                <w:sz w:val="18"/>
                <w:szCs w:val="18"/>
              </w:rPr>
              <w:t>poxypropan-1-ol</w:t>
            </w:r>
          </w:p>
        </w:tc>
        <w:tc>
          <w:tcPr>
            <w:tcW w:w="1667" w:type="dxa"/>
            <w:vAlign w:val="center"/>
          </w:tcPr>
          <w:p w14:paraId="7F832768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4127</w:t>
            </w:r>
          </w:p>
        </w:tc>
        <w:tc>
          <w:tcPr>
            <w:tcW w:w="5846" w:type="dxa"/>
            <w:vAlign w:val="center"/>
          </w:tcPr>
          <w:p w14:paraId="658BB7FD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3B243B1E" w14:textId="77777777" w:rsidTr="00516D6E">
        <w:tc>
          <w:tcPr>
            <w:tcW w:w="1277" w:type="dxa"/>
            <w:vAlign w:val="center"/>
          </w:tcPr>
          <w:p w14:paraId="7B133980" w14:textId="1075D1C7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558-30-5</w:t>
            </w:r>
          </w:p>
        </w:tc>
        <w:tc>
          <w:tcPr>
            <w:tcW w:w="6662" w:type="dxa"/>
            <w:vAlign w:val="center"/>
          </w:tcPr>
          <w:p w14:paraId="750E5BB9" w14:textId="49025F6A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2,2-D</w:t>
            </w:r>
            <w:r w:rsidRPr="00BF5F25">
              <w:rPr>
                <w:sz w:val="18"/>
                <w:szCs w:val="18"/>
              </w:rPr>
              <w:t>imethyloxirane</w:t>
            </w:r>
          </w:p>
        </w:tc>
        <w:tc>
          <w:tcPr>
            <w:tcW w:w="1667" w:type="dxa"/>
            <w:vAlign w:val="center"/>
          </w:tcPr>
          <w:p w14:paraId="67799C6E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</w:t>
            </w:r>
          </w:p>
        </w:tc>
        <w:tc>
          <w:tcPr>
            <w:tcW w:w="5846" w:type="dxa"/>
            <w:vAlign w:val="center"/>
          </w:tcPr>
          <w:p w14:paraId="3F7308C5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3FD5FD85" w14:textId="77777777" w:rsidTr="00516D6E">
        <w:tc>
          <w:tcPr>
            <w:tcW w:w="1277" w:type="dxa"/>
            <w:vAlign w:val="center"/>
          </w:tcPr>
          <w:p w14:paraId="14A8BB49" w14:textId="12FD7492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1854-26-8</w:t>
            </w:r>
          </w:p>
        </w:tc>
        <w:tc>
          <w:tcPr>
            <w:tcW w:w="6662" w:type="dxa"/>
            <w:vAlign w:val="center"/>
          </w:tcPr>
          <w:p w14:paraId="77FCC7A9" w14:textId="2B91D518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4,5-D</w:t>
            </w:r>
            <w:r w:rsidRPr="0044699F">
              <w:rPr>
                <w:sz w:val="18"/>
                <w:szCs w:val="18"/>
              </w:rPr>
              <w:t>ihydroxy-1,3-bis(hydroxymethyl)imidazolidin-2-one</w:t>
            </w:r>
          </w:p>
        </w:tc>
        <w:tc>
          <w:tcPr>
            <w:tcW w:w="1667" w:type="dxa"/>
            <w:vAlign w:val="center"/>
          </w:tcPr>
          <w:p w14:paraId="73807F73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846" w:type="dxa"/>
            <w:vAlign w:val="center"/>
          </w:tcPr>
          <w:p w14:paraId="23A659F6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paper and board</w:t>
            </w:r>
          </w:p>
        </w:tc>
      </w:tr>
      <w:tr w:rsidR="00516D6E" w14:paraId="7A36F468" w14:textId="77777777" w:rsidTr="00516D6E">
        <w:tc>
          <w:tcPr>
            <w:tcW w:w="1277" w:type="dxa"/>
            <w:vAlign w:val="center"/>
          </w:tcPr>
          <w:p w14:paraId="44263694" w14:textId="206DBE23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2210-79-9</w:t>
            </w:r>
          </w:p>
        </w:tc>
        <w:tc>
          <w:tcPr>
            <w:tcW w:w="6662" w:type="dxa"/>
            <w:vAlign w:val="center"/>
          </w:tcPr>
          <w:p w14:paraId="0F6BB847" w14:textId="28259086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2,3-E</w:t>
            </w:r>
            <w:r w:rsidRPr="0044699F">
              <w:rPr>
                <w:sz w:val="18"/>
                <w:szCs w:val="18"/>
              </w:rPr>
              <w:t>poxypropyl o-tolyl ether</w:t>
            </w:r>
          </w:p>
        </w:tc>
        <w:tc>
          <w:tcPr>
            <w:tcW w:w="1667" w:type="dxa"/>
            <w:vAlign w:val="center"/>
          </w:tcPr>
          <w:p w14:paraId="542678E4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</w:t>
            </w:r>
          </w:p>
        </w:tc>
        <w:tc>
          <w:tcPr>
            <w:tcW w:w="5846" w:type="dxa"/>
            <w:vAlign w:val="center"/>
          </w:tcPr>
          <w:p w14:paraId="62F8B4A4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5B78C693" w14:textId="77777777" w:rsidTr="00516D6E">
        <w:tc>
          <w:tcPr>
            <w:tcW w:w="1277" w:type="dxa"/>
            <w:vAlign w:val="center"/>
          </w:tcPr>
          <w:p w14:paraId="2916FBE4" w14:textId="2D2407ED" w:rsidR="00516D6E" w:rsidRPr="000165F4" w:rsidRDefault="00516D6E" w:rsidP="000165F4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2224-15-9</w:t>
            </w:r>
          </w:p>
        </w:tc>
        <w:tc>
          <w:tcPr>
            <w:tcW w:w="6662" w:type="dxa"/>
            <w:vAlign w:val="center"/>
          </w:tcPr>
          <w:p w14:paraId="294B2B26" w14:textId="090893B3" w:rsidR="00516D6E" w:rsidRPr="00417E73" w:rsidRDefault="00516D6E" w:rsidP="000165F4">
            <w:pPr>
              <w:spacing w:line="480" w:lineRule="auto"/>
              <w:rPr>
                <w:sz w:val="18"/>
                <w:szCs w:val="18"/>
              </w:rPr>
            </w:pPr>
            <w:r w:rsidRPr="000165F4">
              <w:rPr>
                <w:sz w:val="18"/>
                <w:szCs w:val="18"/>
              </w:rPr>
              <w:t>2,2'-[</w:t>
            </w:r>
            <w:r>
              <w:rPr>
                <w:sz w:val="18"/>
                <w:szCs w:val="18"/>
              </w:rPr>
              <w:t>E</w:t>
            </w:r>
            <w:r w:rsidRPr="000165F4">
              <w:rPr>
                <w:sz w:val="18"/>
                <w:szCs w:val="18"/>
              </w:rPr>
              <w:t>thylenebis(oxymethylene)]bisoxirane</w:t>
            </w:r>
          </w:p>
        </w:tc>
        <w:tc>
          <w:tcPr>
            <w:tcW w:w="1667" w:type="dxa"/>
            <w:vAlign w:val="center"/>
          </w:tcPr>
          <w:p w14:paraId="30451941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5412</w:t>
            </w:r>
          </w:p>
        </w:tc>
        <w:tc>
          <w:tcPr>
            <w:tcW w:w="5846" w:type="dxa"/>
            <w:vAlign w:val="center"/>
          </w:tcPr>
          <w:p w14:paraId="65E69F43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75780463" w14:textId="77777777" w:rsidTr="00516D6E">
        <w:tc>
          <w:tcPr>
            <w:tcW w:w="1277" w:type="dxa"/>
            <w:vAlign w:val="center"/>
          </w:tcPr>
          <w:p w14:paraId="733BAF2A" w14:textId="5A50E650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2386-87-0</w:t>
            </w:r>
          </w:p>
        </w:tc>
        <w:tc>
          <w:tcPr>
            <w:tcW w:w="6662" w:type="dxa"/>
            <w:vAlign w:val="center"/>
          </w:tcPr>
          <w:p w14:paraId="4366CB32" w14:textId="71CA26B4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7-O</w:t>
            </w:r>
            <w:r w:rsidRPr="000165F4">
              <w:rPr>
                <w:sz w:val="18"/>
                <w:szCs w:val="18"/>
              </w:rPr>
              <w:t>xabicyclo[4.1.0]hept-3-ylmethyl 7-oxabicyclo[4.1.0]heptane-3-carboxylate</w:t>
            </w:r>
          </w:p>
        </w:tc>
        <w:tc>
          <w:tcPr>
            <w:tcW w:w="1667" w:type="dxa"/>
            <w:vAlign w:val="center"/>
          </w:tcPr>
          <w:p w14:paraId="3AF5B475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3447</w:t>
            </w:r>
          </w:p>
        </w:tc>
        <w:tc>
          <w:tcPr>
            <w:tcW w:w="5846" w:type="dxa"/>
            <w:vAlign w:val="center"/>
          </w:tcPr>
          <w:p w14:paraId="7F18CCDC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Solvent in printing ink</w:t>
            </w:r>
          </w:p>
        </w:tc>
      </w:tr>
      <w:tr w:rsidR="00516D6E" w14:paraId="40185BD9" w14:textId="77777777" w:rsidTr="00516D6E">
        <w:tc>
          <w:tcPr>
            <w:tcW w:w="1277" w:type="dxa"/>
            <w:vAlign w:val="center"/>
          </w:tcPr>
          <w:p w14:paraId="66DF82CE" w14:textId="6CA07562" w:rsidR="00516D6E" w:rsidRPr="000165F4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2426-08-6</w:t>
            </w:r>
          </w:p>
        </w:tc>
        <w:tc>
          <w:tcPr>
            <w:tcW w:w="6662" w:type="dxa"/>
            <w:vAlign w:val="center"/>
          </w:tcPr>
          <w:p w14:paraId="184D3C88" w14:textId="53BBCE20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0165F4">
              <w:rPr>
                <w:sz w:val="18"/>
                <w:szCs w:val="18"/>
              </w:rPr>
              <w:t>Butyl 2,3-epoxypropyl ether</w:t>
            </w:r>
          </w:p>
        </w:tc>
        <w:tc>
          <w:tcPr>
            <w:tcW w:w="1667" w:type="dxa"/>
            <w:vAlign w:val="center"/>
          </w:tcPr>
          <w:p w14:paraId="414E1F68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5067</w:t>
            </w:r>
          </w:p>
        </w:tc>
        <w:tc>
          <w:tcPr>
            <w:tcW w:w="5846" w:type="dxa"/>
            <w:vAlign w:val="center"/>
          </w:tcPr>
          <w:p w14:paraId="6D17AB6D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7C16D5A2" w14:textId="77777777" w:rsidTr="00516D6E">
        <w:tc>
          <w:tcPr>
            <w:tcW w:w="1277" w:type="dxa"/>
            <w:vAlign w:val="center"/>
          </w:tcPr>
          <w:p w14:paraId="4130E198" w14:textId="62C42723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2451-62-9</w:t>
            </w:r>
          </w:p>
        </w:tc>
        <w:tc>
          <w:tcPr>
            <w:tcW w:w="6662" w:type="dxa"/>
            <w:vAlign w:val="center"/>
          </w:tcPr>
          <w:p w14:paraId="0188795D" w14:textId="27AA093B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1,3,5-T</w:t>
            </w:r>
            <w:r w:rsidRPr="000165F4">
              <w:rPr>
                <w:sz w:val="18"/>
                <w:szCs w:val="18"/>
              </w:rPr>
              <w:t>ris(oxiranylmethyl)-1,3,5-triazine-2,4,6(1H,3H,5H)-trione</w:t>
            </w:r>
          </w:p>
        </w:tc>
        <w:tc>
          <w:tcPr>
            <w:tcW w:w="1667" w:type="dxa"/>
            <w:vAlign w:val="center"/>
          </w:tcPr>
          <w:p w14:paraId="25272BDE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7407</w:t>
            </w:r>
          </w:p>
        </w:tc>
        <w:tc>
          <w:tcPr>
            <w:tcW w:w="5846" w:type="dxa"/>
            <w:vAlign w:val="center"/>
          </w:tcPr>
          <w:p w14:paraId="6ACAAB34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224CF2B5" w14:textId="77777777" w:rsidTr="00516D6E">
        <w:tc>
          <w:tcPr>
            <w:tcW w:w="1277" w:type="dxa"/>
            <w:vAlign w:val="center"/>
          </w:tcPr>
          <w:p w14:paraId="63676E03" w14:textId="1A1E5132" w:rsidR="00516D6E" w:rsidRPr="000165F4" w:rsidRDefault="00516D6E" w:rsidP="000165F4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2461-15-6</w:t>
            </w:r>
          </w:p>
        </w:tc>
        <w:tc>
          <w:tcPr>
            <w:tcW w:w="6662" w:type="dxa"/>
            <w:vAlign w:val="center"/>
          </w:tcPr>
          <w:p w14:paraId="130EAFD9" w14:textId="0B4B50CD" w:rsidR="00516D6E" w:rsidRPr="00417E73" w:rsidRDefault="00516D6E" w:rsidP="000165F4">
            <w:pPr>
              <w:spacing w:line="480" w:lineRule="auto"/>
              <w:rPr>
                <w:sz w:val="18"/>
                <w:szCs w:val="18"/>
              </w:rPr>
            </w:pPr>
            <w:r w:rsidRPr="000165F4">
              <w:rPr>
                <w:sz w:val="18"/>
                <w:szCs w:val="18"/>
              </w:rPr>
              <w:t>[[(2-</w:t>
            </w:r>
            <w:r>
              <w:rPr>
                <w:sz w:val="18"/>
                <w:szCs w:val="18"/>
              </w:rPr>
              <w:t>E</w:t>
            </w:r>
            <w:r w:rsidRPr="000165F4">
              <w:rPr>
                <w:sz w:val="18"/>
                <w:szCs w:val="18"/>
              </w:rPr>
              <w:t>thylhexyl)oxy]methyl]oxirane</w:t>
            </w:r>
          </w:p>
        </w:tc>
        <w:tc>
          <w:tcPr>
            <w:tcW w:w="1667" w:type="dxa"/>
            <w:vAlign w:val="center"/>
          </w:tcPr>
          <w:p w14:paraId="1378BA5E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4197</w:t>
            </w:r>
          </w:p>
        </w:tc>
        <w:tc>
          <w:tcPr>
            <w:tcW w:w="5846" w:type="dxa"/>
            <w:vAlign w:val="center"/>
          </w:tcPr>
          <w:p w14:paraId="199272DB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175D7E89" w14:textId="77777777" w:rsidTr="00516D6E">
        <w:tc>
          <w:tcPr>
            <w:tcW w:w="1277" w:type="dxa"/>
            <w:vAlign w:val="center"/>
          </w:tcPr>
          <w:p w14:paraId="62BB5600" w14:textId="181D98B9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3101-60-8</w:t>
            </w:r>
          </w:p>
        </w:tc>
        <w:tc>
          <w:tcPr>
            <w:tcW w:w="6662" w:type="dxa"/>
            <w:vAlign w:val="center"/>
          </w:tcPr>
          <w:p w14:paraId="7D07D79A" w14:textId="11F44302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p-T</w:t>
            </w:r>
            <w:r w:rsidRPr="000165F4">
              <w:rPr>
                <w:sz w:val="18"/>
                <w:szCs w:val="18"/>
              </w:rPr>
              <w:t>ert-butylphenyl 1-(2,3-epoxy)propyl ether</w:t>
            </w:r>
          </w:p>
        </w:tc>
        <w:tc>
          <w:tcPr>
            <w:tcW w:w="1667" w:type="dxa"/>
            <w:vAlign w:val="center"/>
          </w:tcPr>
          <w:p w14:paraId="2E7348DD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</w:t>
            </w:r>
          </w:p>
        </w:tc>
        <w:tc>
          <w:tcPr>
            <w:tcW w:w="5846" w:type="dxa"/>
            <w:vAlign w:val="center"/>
          </w:tcPr>
          <w:p w14:paraId="17BF0CDF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56A8AD91" w14:textId="77777777" w:rsidTr="00516D6E">
        <w:tc>
          <w:tcPr>
            <w:tcW w:w="1277" w:type="dxa"/>
            <w:vAlign w:val="center"/>
          </w:tcPr>
          <w:p w14:paraId="59B2CA73" w14:textId="4278B578" w:rsidR="00516D6E" w:rsidRPr="000165F4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3252-43-5</w:t>
            </w:r>
          </w:p>
        </w:tc>
        <w:tc>
          <w:tcPr>
            <w:tcW w:w="6662" w:type="dxa"/>
            <w:vAlign w:val="center"/>
          </w:tcPr>
          <w:p w14:paraId="78CC1818" w14:textId="47DF39A2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0165F4">
              <w:rPr>
                <w:sz w:val="18"/>
                <w:szCs w:val="18"/>
              </w:rPr>
              <w:t>Dibromoacetonitrile</w:t>
            </w:r>
          </w:p>
        </w:tc>
        <w:tc>
          <w:tcPr>
            <w:tcW w:w="1667" w:type="dxa"/>
            <w:vAlign w:val="center"/>
          </w:tcPr>
          <w:p w14:paraId="55D23311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846" w:type="dxa"/>
            <w:vAlign w:val="center"/>
          </w:tcPr>
          <w:p w14:paraId="7BFDE78B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paper and board</w:t>
            </w:r>
          </w:p>
        </w:tc>
      </w:tr>
      <w:tr w:rsidR="00516D6E" w14:paraId="58FC79BB" w14:textId="77777777" w:rsidTr="00516D6E">
        <w:tc>
          <w:tcPr>
            <w:tcW w:w="1277" w:type="dxa"/>
            <w:vAlign w:val="center"/>
          </w:tcPr>
          <w:p w14:paraId="11CEF640" w14:textId="2BD68247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3266-23-7</w:t>
            </w:r>
          </w:p>
        </w:tc>
        <w:tc>
          <w:tcPr>
            <w:tcW w:w="6662" w:type="dxa"/>
            <w:vAlign w:val="center"/>
          </w:tcPr>
          <w:p w14:paraId="20176713" w14:textId="3B0D8C5F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2,3-E</w:t>
            </w:r>
            <w:r w:rsidRPr="00981E5B">
              <w:rPr>
                <w:sz w:val="18"/>
                <w:szCs w:val="18"/>
              </w:rPr>
              <w:t>poxybutane</w:t>
            </w:r>
          </w:p>
        </w:tc>
        <w:tc>
          <w:tcPr>
            <w:tcW w:w="1667" w:type="dxa"/>
            <w:vAlign w:val="center"/>
          </w:tcPr>
          <w:p w14:paraId="11E86AEC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</w:t>
            </w:r>
          </w:p>
        </w:tc>
        <w:tc>
          <w:tcPr>
            <w:tcW w:w="5846" w:type="dxa"/>
            <w:vAlign w:val="center"/>
          </w:tcPr>
          <w:p w14:paraId="1C5A8DBE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726A7D3E" w14:textId="77777777" w:rsidTr="00516D6E">
        <w:tc>
          <w:tcPr>
            <w:tcW w:w="1277" w:type="dxa"/>
            <w:vAlign w:val="center"/>
          </w:tcPr>
          <w:p w14:paraId="13B0C9DB" w14:textId="5F50B4C8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4016-14-2</w:t>
            </w:r>
          </w:p>
        </w:tc>
        <w:tc>
          <w:tcPr>
            <w:tcW w:w="6662" w:type="dxa"/>
            <w:vAlign w:val="center"/>
          </w:tcPr>
          <w:p w14:paraId="68D6CE40" w14:textId="4BC9B1A4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2,3-E</w:t>
            </w:r>
            <w:r w:rsidRPr="00644426">
              <w:rPr>
                <w:sz w:val="18"/>
                <w:szCs w:val="18"/>
              </w:rPr>
              <w:t>poxypropyl isopropyl ether</w:t>
            </w:r>
          </w:p>
        </w:tc>
        <w:tc>
          <w:tcPr>
            <w:tcW w:w="1667" w:type="dxa"/>
            <w:vAlign w:val="center"/>
          </w:tcPr>
          <w:p w14:paraId="6563CDD8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6839</w:t>
            </w:r>
          </w:p>
        </w:tc>
        <w:tc>
          <w:tcPr>
            <w:tcW w:w="5846" w:type="dxa"/>
            <w:vAlign w:val="center"/>
          </w:tcPr>
          <w:p w14:paraId="40DCD1D4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7E3EE5F5" w14:textId="77777777" w:rsidTr="00516D6E">
        <w:tc>
          <w:tcPr>
            <w:tcW w:w="1277" w:type="dxa"/>
            <w:vAlign w:val="center"/>
          </w:tcPr>
          <w:p w14:paraId="2EB61F5D" w14:textId="36345870" w:rsidR="00516D6E" w:rsidRPr="00644426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4170-30-3</w:t>
            </w:r>
          </w:p>
        </w:tc>
        <w:tc>
          <w:tcPr>
            <w:tcW w:w="6662" w:type="dxa"/>
            <w:vAlign w:val="center"/>
          </w:tcPr>
          <w:p w14:paraId="7A539B72" w14:textId="003C91E8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644426">
              <w:rPr>
                <w:sz w:val="18"/>
                <w:szCs w:val="18"/>
              </w:rPr>
              <w:t>Crotonaldehyde</w:t>
            </w:r>
          </w:p>
        </w:tc>
        <w:tc>
          <w:tcPr>
            <w:tcW w:w="1667" w:type="dxa"/>
            <w:vAlign w:val="center"/>
          </w:tcPr>
          <w:p w14:paraId="55E7D748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4171</w:t>
            </w:r>
          </w:p>
        </w:tc>
        <w:tc>
          <w:tcPr>
            <w:tcW w:w="5846" w:type="dxa"/>
            <w:vAlign w:val="center"/>
          </w:tcPr>
          <w:p w14:paraId="3A3AD660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685FF3AB" w14:textId="77777777" w:rsidTr="00516D6E">
        <w:tc>
          <w:tcPr>
            <w:tcW w:w="1277" w:type="dxa"/>
            <w:vAlign w:val="center"/>
          </w:tcPr>
          <w:p w14:paraId="11319D3A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6471-49-4</w:t>
            </w:r>
          </w:p>
          <w:p w14:paraId="2EEAE974" w14:textId="77777777" w:rsidR="00516D6E" w:rsidRPr="00644426" w:rsidRDefault="00516D6E" w:rsidP="0064442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4E08D3FA" w14:textId="1BDE0177" w:rsidR="00516D6E" w:rsidRPr="00417E73" w:rsidRDefault="00516D6E" w:rsidP="00644426">
            <w:pPr>
              <w:spacing w:line="480" w:lineRule="auto"/>
              <w:rPr>
                <w:sz w:val="18"/>
                <w:szCs w:val="18"/>
              </w:rPr>
            </w:pPr>
            <w:r w:rsidRPr="00644426"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>H</w:t>
            </w:r>
            <w:r w:rsidRPr="00644426">
              <w:rPr>
                <w:sz w:val="18"/>
                <w:szCs w:val="18"/>
              </w:rPr>
              <w:t>ydroxy-4-[(2-methoxy-5-nitrophenyl)azo]-N-(3-nitrophenyl)naphthalene-2-carboxamide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67" w:type="dxa"/>
            <w:vAlign w:val="center"/>
          </w:tcPr>
          <w:p w14:paraId="253BFFC8" w14:textId="77777777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</w:t>
            </w:r>
          </w:p>
          <w:p w14:paraId="09D05F8B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846" w:type="dxa"/>
            <w:vAlign w:val="center"/>
          </w:tcPr>
          <w:p w14:paraId="19EE20B4" w14:textId="77777777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5F695E9F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551BCE88" w14:textId="77777777" w:rsidTr="00516D6E">
        <w:tc>
          <w:tcPr>
            <w:tcW w:w="1277" w:type="dxa"/>
            <w:vAlign w:val="center"/>
          </w:tcPr>
          <w:p w14:paraId="0CA53786" w14:textId="37697A0F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7665-72-7</w:t>
            </w:r>
          </w:p>
        </w:tc>
        <w:tc>
          <w:tcPr>
            <w:tcW w:w="6662" w:type="dxa"/>
            <w:vAlign w:val="center"/>
          </w:tcPr>
          <w:p w14:paraId="4413D544" w14:textId="050ADBF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644426">
              <w:rPr>
                <w:sz w:val="18"/>
                <w:szCs w:val="18"/>
              </w:rPr>
              <w:t>ert-butoxymethyl)oxirane</w:t>
            </w:r>
          </w:p>
        </w:tc>
        <w:tc>
          <w:tcPr>
            <w:tcW w:w="1667" w:type="dxa"/>
            <w:vAlign w:val="center"/>
          </w:tcPr>
          <w:p w14:paraId="60E0C464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6293</w:t>
            </w:r>
          </w:p>
        </w:tc>
        <w:tc>
          <w:tcPr>
            <w:tcW w:w="5846" w:type="dxa"/>
            <w:vAlign w:val="center"/>
          </w:tcPr>
          <w:p w14:paraId="29DB175B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6517F17F" w14:textId="77777777" w:rsidTr="00516D6E">
        <w:tc>
          <w:tcPr>
            <w:tcW w:w="1277" w:type="dxa"/>
            <w:vAlign w:val="center"/>
          </w:tcPr>
          <w:p w14:paraId="450FBAEB" w14:textId="647C6FEF" w:rsidR="00516D6E" w:rsidRPr="00644426" w:rsidRDefault="00516D6E" w:rsidP="00644426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17557-23-2</w:t>
            </w:r>
          </w:p>
        </w:tc>
        <w:tc>
          <w:tcPr>
            <w:tcW w:w="6662" w:type="dxa"/>
            <w:vAlign w:val="center"/>
          </w:tcPr>
          <w:p w14:paraId="26CF1465" w14:textId="394FCA46" w:rsidR="00516D6E" w:rsidRPr="00417E73" w:rsidRDefault="00516D6E" w:rsidP="00644426">
            <w:pPr>
              <w:spacing w:line="480" w:lineRule="auto"/>
              <w:rPr>
                <w:sz w:val="18"/>
                <w:szCs w:val="18"/>
              </w:rPr>
            </w:pPr>
            <w:r w:rsidRPr="00644426">
              <w:rPr>
                <w:sz w:val="18"/>
                <w:szCs w:val="18"/>
              </w:rPr>
              <w:t>1,3-</w:t>
            </w:r>
            <w:r>
              <w:rPr>
                <w:sz w:val="18"/>
                <w:szCs w:val="18"/>
              </w:rPr>
              <w:t>B</w:t>
            </w:r>
            <w:r w:rsidRPr="00644426">
              <w:rPr>
                <w:sz w:val="18"/>
                <w:szCs w:val="18"/>
              </w:rPr>
              <w:t>is(2,3-epoxypropoxy)-2,2-dimethylpropane</w:t>
            </w:r>
          </w:p>
        </w:tc>
        <w:tc>
          <w:tcPr>
            <w:tcW w:w="1667" w:type="dxa"/>
            <w:vAlign w:val="center"/>
          </w:tcPr>
          <w:p w14:paraId="5EB2F9BF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</w:t>
            </w:r>
          </w:p>
        </w:tc>
        <w:tc>
          <w:tcPr>
            <w:tcW w:w="5846" w:type="dxa"/>
            <w:vAlign w:val="center"/>
          </w:tcPr>
          <w:p w14:paraId="1323F26D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249074B6" w14:textId="77777777" w:rsidTr="00516D6E">
        <w:tc>
          <w:tcPr>
            <w:tcW w:w="1277" w:type="dxa"/>
            <w:vAlign w:val="center"/>
          </w:tcPr>
          <w:p w14:paraId="387D0EA5" w14:textId="14DEFF8A" w:rsidR="00516D6E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21490-63-1</w:t>
            </w:r>
          </w:p>
        </w:tc>
        <w:tc>
          <w:tcPr>
            <w:tcW w:w="6662" w:type="dxa"/>
            <w:vAlign w:val="center"/>
          </w:tcPr>
          <w:p w14:paraId="6298944A" w14:textId="07829AE6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4560BB">
              <w:rPr>
                <w:sz w:val="18"/>
                <w:szCs w:val="18"/>
              </w:rPr>
              <w:t>rans-2,3-dimethyloxirane</w:t>
            </w:r>
          </w:p>
        </w:tc>
        <w:tc>
          <w:tcPr>
            <w:tcW w:w="1667" w:type="dxa"/>
            <w:vAlign w:val="center"/>
          </w:tcPr>
          <w:p w14:paraId="7CF23EB6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6297</w:t>
            </w:r>
          </w:p>
        </w:tc>
        <w:tc>
          <w:tcPr>
            <w:tcW w:w="5846" w:type="dxa"/>
            <w:vAlign w:val="center"/>
          </w:tcPr>
          <w:p w14:paraId="745CBB75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57B016AE" w14:textId="77777777" w:rsidTr="00516D6E">
        <w:tc>
          <w:tcPr>
            <w:tcW w:w="1277" w:type="dxa"/>
            <w:vAlign w:val="center"/>
          </w:tcPr>
          <w:p w14:paraId="2AA7D526" w14:textId="49FE1132" w:rsidR="00516D6E" w:rsidRPr="004560BB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26249-20-7</w:t>
            </w:r>
          </w:p>
        </w:tc>
        <w:tc>
          <w:tcPr>
            <w:tcW w:w="6662" w:type="dxa"/>
            <w:vAlign w:val="center"/>
          </w:tcPr>
          <w:p w14:paraId="54DA31AC" w14:textId="30A7A669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4560BB">
              <w:rPr>
                <w:sz w:val="18"/>
                <w:szCs w:val="18"/>
              </w:rPr>
              <w:t>Epoxybutane</w:t>
            </w:r>
          </w:p>
        </w:tc>
        <w:tc>
          <w:tcPr>
            <w:tcW w:w="1667" w:type="dxa"/>
            <w:vAlign w:val="center"/>
          </w:tcPr>
          <w:p w14:paraId="7B0DDBE9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</w:t>
            </w:r>
          </w:p>
        </w:tc>
        <w:tc>
          <w:tcPr>
            <w:tcW w:w="5846" w:type="dxa"/>
            <w:vAlign w:val="center"/>
          </w:tcPr>
          <w:p w14:paraId="5DBA85E9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09229B">
              <w:rPr>
                <w:sz w:val="18"/>
                <w:szCs w:val="18"/>
              </w:rPr>
              <w:t xml:space="preserve">Monomer </w:t>
            </w:r>
            <w:r>
              <w:rPr>
                <w:sz w:val="18"/>
                <w:szCs w:val="18"/>
              </w:rPr>
              <w:t>in printing ink</w:t>
            </w:r>
          </w:p>
        </w:tc>
      </w:tr>
      <w:tr w:rsidR="00516D6E" w14:paraId="77D3174D" w14:textId="77777777" w:rsidTr="00516D6E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185B363" w14:textId="32E6909E" w:rsidR="00516D6E" w:rsidRPr="004560BB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FE585B">
              <w:rPr>
                <w:rFonts w:ascii="Calibri" w:hAnsi="Calibri"/>
                <w:color w:val="000000"/>
                <w:sz w:val="18"/>
                <w:szCs w:val="18"/>
              </w:rPr>
              <w:t>857892-58-1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96305A7" w14:textId="03A8E5D4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 w:rsidRPr="004560BB">
              <w:rPr>
                <w:sz w:val="18"/>
                <w:szCs w:val="18"/>
              </w:rPr>
              <w:t>Oxirane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575F8A44" w14:textId="77777777" w:rsidR="00516D6E" w:rsidRPr="00417E73" w:rsidRDefault="00516D6E" w:rsidP="00FE58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6299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center"/>
          </w:tcPr>
          <w:p w14:paraId="074832D7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</w:tbl>
    <w:p w14:paraId="4C070B6E" w14:textId="7F694C88" w:rsidR="00AE464D" w:rsidRDefault="00AE464D" w:rsidP="00AE464D">
      <w:pPr>
        <w:keepNext/>
        <w:spacing w:after="0" w:line="480" w:lineRule="auto"/>
        <w:ind w:right="-359"/>
        <w:jc w:val="both"/>
        <w:rPr>
          <w:sz w:val="20"/>
        </w:rPr>
      </w:pPr>
      <w:r>
        <w:rPr>
          <w:sz w:val="20"/>
        </w:rPr>
        <w:br w:type="page"/>
      </w:r>
    </w:p>
    <w:p w14:paraId="01B4C4BF" w14:textId="4E8AAB58" w:rsidR="00C44740" w:rsidRDefault="00A61814" w:rsidP="00AE464D">
      <w:pPr>
        <w:keepNext/>
        <w:spacing w:after="0" w:line="480" w:lineRule="auto"/>
        <w:ind w:right="-359"/>
        <w:jc w:val="both"/>
        <w:rPr>
          <w:sz w:val="20"/>
        </w:rPr>
      </w:pPr>
      <w:r>
        <w:rPr>
          <w:sz w:val="20"/>
        </w:rPr>
        <w:lastRenderedPageBreak/>
        <w:t xml:space="preserve">Table </w:t>
      </w:r>
      <w:r w:rsidR="00520496">
        <w:rPr>
          <w:sz w:val="20"/>
        </w:rPr>
        <w:t>4</w:t>
      </w:r>
      <w:r w:rsidR="001A3004">
        <w:rPr>
          <w:sz w:val="20"/>
        </w:rPr>
        <w:t>b</w:t>
      </w:r>
      <w:r w:rsidR="001A3004" w:rsidRPr="00417E73">
        <w:rPr>
          <w:sz w:val="20"/>
        </w:rPr>
        <w:t xml:space="preserve">. </w:t>
      </w:r>
      <w:r w:rsidR="00587278">
        <w:rPr>
          <w:sz w:val="20"/>
        </w:rPr>
        <w:tab/>
      </w:r>
      <w:r w:rsidR="001A3004" w:rsidRPr="00417E73">
        <w:rPr>
          <w:sz w:val="20"/>
        </w:rPr>
        <w:t xml:space="preserve">Overview of </w:t>
      </w:r>
      <w:r w:rsidR="001A3004">
        <w:rPr>
          <w:sz w:val="20"/>
        </w:rPr>
        <w:t>substances</w:t>
      </w:r>
      <w:r w:rsidR="009F4BB3">
        <w:rPr>
          <w:sz w:val="20"/>
        </w:rPr>
        <w:t>,</w:t>
      </w:r>
      <w:r w:rsidR="001A3004">
        <w:rPr>
          <w:sz w:val="20"/>
        </w:rPr>
        <w:t xml:space="preserve"> </w:t>
      </w:r>
      <w:r w:rsidR="000B1F66" w:rsidRPr="00417E73">
        <w:rPr>
          <w:sz w:val="20"/>
        </w:rPr>
        <w:t>listed for use in printed paper and board FCM</w:t>
      </w:r>
      <w:r w:rsidR="009F4BB3">
        <w:rPr>
          <w:sz w:val="20"/>
        </w:rPr>
        <w:t>,</w:t>
      </w:r>
      <w:r w:rsidR="000B1F66">
        <w:rPr>
          <w:sz w:val="20"/>
        </w:rPr>
        <w:t xml:space="preserve"> </w:t>
      </w:r>
      <w:r w:rsidR="001A3004">
        <w:rPr>
          <w:sz w:val="20"/>
        </w:rPr>
        <w:t>predicted positive for Ames mutagenicity in 4 (Q)SAR tools</w:t>
      </w:r>
      <w:r w:rsidR="000B1F66">
        <w:rPr>
          <w:sz w:val="20"/>
        </w:rPr>
        <w:t xml:space="preserve"> and</w:t>
      </w:r>
      <w:r w:rsidR="001A3004">
        <w:rPr>
          <w:sz w:val="20"/>
        </w:rPr>
        <w:t xml:space="preserve"> </w:t>
      </w:r>
      <w:r w:rsidR="000B1F66">
        <w:rPr>
          <w:sz w:val="20"/>
        </w:rPr>
        <w:t xml:space="preserve">requiring </w:t>
      </w:r>
    </w:p>
    <w:p w14:paraId="27D6241F" w14:textId="648C5E0D" w:rsidR="001A3004" w:rsidRDefault="00587278" w:rsidP="001A3004">
      <w:pPr>
        <w:keepNext/>
        <w:spacing w:after="0" w:line="480" w:lineRule="auto"/>
        <w:ind w:right="-359"/>
        <w:jc w:val="both"/>
      </w:pPr>
      <w:r>
        <w:rPr>
          <w:sz w:val="20"/>
        </w:rPr>
        <w:tab/>
      </w:r>
      <w:r>
        <w:rPr>
          <w:sz w:val="20"/>
        </w:rPr>
        <w:tab/>
      </w:r>
      <w:r w:rsidR="000B1F66">
        <w:rPr>
          <w:sz w:val="20"/>
        </w:rPr>
        <w:t>experimental testing</w:t>
      </w:r>
      <w:r w:rsidR="001A3004" w:rsidRPr="00417E73">
        <w:rPr>
          <w:sz w:val="20"/>
        </w:rPr>
        <w:t>.</w:t>
      </w:r>
      <w:r w:rsidR="00A740C6">
        <w:rPr>
          <w:sz w:val="20"/>
        </w:rPr>
        <w:t xml:space="preserve"> * aromatic azo compound predicted positive in 1 local QSAR, ** aromatic azo compound predicted positive in 2 local QSARs.</w:t>
      </w:r>
    </w:p>
    <w:tbl>
      <w:tblPr>
        <w:tblStyle w:val="TableGrid"/>
        <w:tblW w:w="1506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662"/>
        <w:gridCol w:w="1701"/>
        <w:gridCol w:w="5421"/>
      </w:tblGrid>
      <w:tr w:rsidR="00516D6E" w14:paraId="63A1B79E" w14:textId="77777777" w:rsidTr="00283EF7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AC50D" w14:textId="572E016B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417E73">
              <w:rPr>
                <w:sz w:val="18"/>
                <w:szCs w:val="18"/>
              </w:rPr>
              <w:t>CAS number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48397" w14:textId="37502225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417E73">
              <w:rPr>
                <w:sz w:val="18"/>
                <w:szCs w:val="18"/>
              </w:rPr>
              <w:t>Chemical name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C9EEB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417E73">
              <w:rPr>
                <w:sz w:val="18"/>
                <w:szCs w:val="18"/>
              </w:rPr>
              <w:t>FACET number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99124" w14:textId="77777777" w:rsidR="00516D6E" w:rsidRPr="00417E73" w:rsidRDefault="00516D6E" w:rsidP="001A3004">
            <w:pPr>
              <w:spacing w:line="480" w:lineRule="auto"/>
              <w:rPr>
                <w:sz w:val="18"/>
                <w:szCs w:val="18"/>
              </w:rPr>
            </w:pPr>
            <w:r w:rsidRPr="00417E73">
              <w:rPr>
                <w:sz w:val="18"/>
                <w:szCs w:val="18"/>
              </w:rPr>
              <w:t>Use in FCM</w:t>
            </w:r>
          </w:p>
        </w:tc>
      </w:tr>
      <w:tr w:rsidR="00516D6E" w14:paraId="216B84DF" w14:textId="77777777" w:rsidTr="00283EF7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0512BDFD" w14:textId="1AF946AE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82-38-2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4E0E0250" w14:textId="21A654DF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1-(M</w:t>
            </w:r>
            <w:r w:rsidRPr="009F4BB3">
              <w:rPr>
                <w:sz w:val="18"/>
                <w:szCs w:val="18"/>
              </w:rPr>
              <w:t>ethylamino)anthraquinone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44C1A9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vAlign w:val="center"/>
          </w:tcPr>
          <w:p w14:paraId="05C63F00" w14:textId="77777777" w:rsidR="00516D6E" w:rsidRPr="00417E73" w:rsidRDefault="00516D6E" w:rsidP="00A15C7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in printing ink</w:t>
            </w:r>
          </w:p>
        </w:tc>
      </w:tr>
      <w:tr w:rsidR="00516D6E" w14:paraId="1B8750CF" w14:textId="77777777" w:rsidTr="00283EF7">
        <w:tc>
          <w:tcPr>
            <w:tcW w:w="1277" w:type="dxa"/>
            <w:vAlign w:val="center"/>
          </w:tcPr>
          <w:p w14:paraId="56A137E4" w14:textId="68194EC2" w:rsidR="00516D6E" w:rsidRPr="00A15C7F" w:rsidRDefault="00516D6E" w:rsidP="00A15C7F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136-84-5</w:t>
            </w:r>
          </w:p>
        </w:tc>
        <w:tc>
          <w:tcPr>
            <w:tcW w:w="6662" w:type="dxa"/>
            <w:vAlign w:val="center"/>
          </w:tcPr>
          <w:p w14:paraId="34D51662" w14:textId="3B0F579F" w:rsidR="00516D6E" w:rsidRPr="00417E73" w:rsidRDefault="00516D6E" w:rsidP="00A15C7F">
            <w:pPr>
              <w:spacing w:line="480" w:lineRule="auto"/>
              <w:rPr>
                <w:sz w:val="18"/>
                <w:szCs w:val="18"/>
              </w:rPr>
            </w:pPr>
            <w:r w:rsidRPr="00A15C7F">
              <w:rPr>
                <w:sz w:val="18"/>
                <w:szCs w:val="18"/>
              </w:rPr>
              <w:t>1,3-</w:t>
            </w:r>
            <w:r>
              <w:rPr>
                <w:sz w:val="18"/>
                <w:szCs w:val="18"/>
              </w:rPr>
              <w:t>B</w:t>
            </w:r>
            <w:r w:rsidRPr="00A15C7F">
              <w:rPr>
                <w:sz w:val="18"/>
                <w:szCs w:val="18"/>
              </w:rPr>
              <w:t>is(hydroxymethyl)imidazolidin-2-one</w:t>
            </w:r>
          </w:p>
        </w:tc>
        <w:tc>
          <w:tcPr>
            <w:tcW w:w="1701" w:type="dxa"/>
            <w:vAlign w:val="center"/>
          </w:tcPr>
          <w:p w14:paraId="4256DC55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</w:t>
            </w:r>
          </w:p>
        </w:tc>
        <w:tc>
          <w:tcPr>
            <w:tcW w:w="5421" w:type="dxa"/>
            <w:vAlign w:val="center"/>
          </w:tcPr>
          <w:p w14:paraId="194F8AAA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3EFBDC96" w14:textId="77777777" w:rsidTr="00283EF7">
        <w:tc>
          <w:tcPr>
            <w:tcW w:w="1277" w:type="dxa"/>
            <w:vAlign w:val="center"/>
          </w:tcPr>
          <w:p w14:paraId="0AA0022C" w14:textId="2DEF689B" w:rsidR="00516D6E" w:rsidRPr="00A15C7F" w:rsidRDefault="00516D6E" w:rsidP="00A15C7F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624-65-7</w:t>
            </w:r>
          </w:p>
        </w:tc>
        <w:tc>
          <w:tcPr>
            <w:tcW w:w="6662" w:type="dxa"/>
            <w:vAlign w:val="center"/>
          </w:tcPr>
          <w:p w14:paraId="3133DFC1" w14:textId="01EA0A76" w:rsidR="00516D6E" w:rsidRPr="00417E73" w:rsidRDefault="00516D6E" w:rsidP="00A15C7F">
            <w:pPr>
              <w:spacing w:line="480" w:lineRule="auto"/>
              <w:rPr>
                <w:sz w:val="18"/>
                <w:szCs w:val="18"/>
              </w:rPr>
            </w:pPr>
            <w:r w:rsidRPr="00A15C7F"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>C</w:t>
            </w:r>
            <w:r w:rsidRPr="00A15C7F">
              <w:rPr>
                <w:sz w:val="18"/>
                <w:szCs w:val="18"/>
              </w:rPr>
              <w:t>hloropropyne</w:t>
            </w:r>
          </w:p>
        </w:tc>
        <w:tc>
          <w:tcPr>
            <w:tcW w:w="1701" w:type="dxa"/>
            <w:vAlign w:val="center"/>
          </w:tcPr>
          <w:p w14:paraId="796F3C07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6897</w:t>
            </w:r>
          </w:p>
        </w:tc>
        <w:tc>
          <w:tcPr>
            <w:tcW w:w="5421" w:type="dxa"/>
            <w:vAlign w:val="center"/>
          </w:tcPr>
          <w:p w14:paraId="3B5ECD6F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3E2F0B93" w14:textId="77777777" w:rsidTr="00283EF7">
        <w:tc>
          <w:tcPr>
            <w:tcW w:w="1277" w:type="dxa"/>
            <w:vAlign w:val="center"/>
          </w:tcPr>
          <w:p w14:paraId="485B0622" w14:textId="548CCD03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938-18-1</w:t>
            </w:r>
          </w:p>
        </w:tc>
        <w:tc>
          <w:tcPr>
            <w:tcW w:w="6662" w:type="dxa"/>
            <w:vAlign w:val="center"/>
          </w:tcPr>
          <w:p w14:paraId="5F4A4859" w14:textId="37801965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2,4,6-T</w:t>
            </w:r>
            <w:r w:rsidRPr="00A15C7F">
              <w:rPr>
                <w:sz w:val="18"/>
                <w:szCs w:val="18"/>
              </w:rPr>
              <w:t>rimethylbenzoyl chloride</w:t>
            </w:r>
          </w:p>
        </w:tc>
        <w:tc>
          <w:tcPr>
            <w:tcW w:w="1701" w:type="dxa"/>
            <w:vAlign w:val="center"/>
          </w:tcPr>
          <w:p w14:paraId="387912EA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</w:t>
            </w:r>
          </w:p>
        </w:tc>
        <w:tc>
          <w:tcPr>
            <w:tcW w:w="5421" w:type="dxa"/>
            <w:vAlign w:val="center"/>
          </w:tcPr>
          <w:p w14:paraId="17D76AF6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38D7AD0D" w14:textId="77777777" w:rsidTr="00283EF7">
        <w:tc>
          <w:tcPr>
            <w:tcW w:w="1277" w:type="dxa"/>
            <w:vAlign w:val="center"/>
          </w:tcPr>
          <w:p w14:paraId="1625F817" w14:textId="38A1C99A" w:rsidR="00516D6E" w:rsidRPr="00A15C7F" w:rsidRDefault="00516D6E" w:rsidP="00A15C7F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1208-52-2</w:t>
            </w:r>
          </w:p>
        </w:tc>
        <w:tc>
          <w:tcPr>
            <w:tcW w:w="6662" w:type="dxa"/>
            <w:vAlign w:val="center"/>
          </w:tcPr>
          <w:p w14:paraId="2DDBE6B0" w14:textId="670717B9" w:rsidR="00516D6E" w:rsidRPr="00417E73" w:rsidRDefault="00516D6E" w:rsidP="00A15C7F">
            <w:pPr>
              <w:spacing w:line="480" w:lineRule="auto"/>
              <w:rPr>
                <w:sz w:val="18"/>
                <w:szCs w:val="18"/>
              </w:rPr>
            </w:pPr>
            <w:r w:rsidRPr="00A15C7F">
              <w:rPr>
                <w:sz w:val="18"/>
                <w:szCs w:val="18"/>
              </w:rPr>
              <w:t>2,4'-</w:t>
            </w:r>
            <w:r>
              <w:rPr>
                <w:sz w:val="18"/>
                <w:szCs w:val="18"/>
              </w:rPr>
              <w:t>M</w:t>
            </w:r>
            <w:r w:rsidRPr="00A15C7F">
              <w:rPr>
                <w:sz w:val="18"/>
                <w:szCs w:val="18"/>
              </w:rPr>
              <w:t>ethylenedianiline</w:t>
            </w:r>
          </w:p>
        </w:tc>
        <w:tc>
          <w:tcPr>
            <w:tcW w:w="1701" w:type="dxa"/>
            <w:vAlign w:val="center"/>
          </w:tcPr>
          <w:p w14:paraId="3BEEF627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</w:t>
            </w:r>
          </w:p>
        </w:tc>
        <w:tc>
          <w:tcPr>
            <w:tcW w:w="5421" w:type="dxa"/>
            <w:vAlign w:val="center"/>
          </w:tcPr>
          <w:p w14:paraId="5965FE3F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4AA053D6" w14:textId="77777777" w:rsidTr="00283EF7">
        <w:tc>
          <w:tcPr>
            <w:tcW w:w="1277" w:type="dxa"/>
            <w:vAlign w:val="center"/>
          </w:tcPr>
          <w:p w14:paraId="4A2ABDA5" w14:textId="31BFE6CC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1606-83-3</w:t>
            </w:r>
          </w:p>
        </w:tc>
        <w:tc>
          <w:tcPr>
            <w:tcW w:w="6662" w:type="dxa"/>
            <w:vAlign w:val="center"/>
          </w:tcPr>
          <w:p w14:paraId="4516905B" w14:textId="49AB42B4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1,1'-[B</w:t>
            </w:r>
            <w:r w:rsidRPr="00693D91">
              <w:rPr>
                <w:sz w:val="18"/>
                <w:szCs w:val="18"/>
              </w:rPr>
              <w:t>ut-2-yne-1,4-diylbis(oxy)]bis[3-chloropropan-2-ol]</w:t>
            </w:r>
          </w:p>
        </w:tc>
        <w:tc>
          <w:tcPr>
            <w:tcW w:w="1701" w:type="dxa"/>
            <w:vAlign w:val="center"/>
          </w:tcPr>
          <w:p w14:paraId="3B70CBE1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</w:t>
            </w:r>
          </w:p>
        </w:tc>
        <w:tc>
          <w:tcPr>
            <w:tcW w:w="5421" w:type="dxa"/>
            <w:vAlign w:val="center"/>
          </w:tcPr>
          <w:p w14:paraId="714A4E07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11AFA173" w14:textId="77777777" w:rsidTr="00283EF7">
        <w:tc>
          <w:tcPr>
            <w:tcW w:w="1277" w:type="dxa"/>
            <w:vAlign w:val="center"/>
          </w:tcPr>
          <w:p w14:paraId="57C335F0" w14:textId="2A05EF63" w:rsidR="00516D6E" w:rsidRPr="00374ED1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1719-57-9</w:t>
            </w:r>
          </w:p>
        </w:tc>
        <w:tc>
          <w:tcPr>
            <w:tcW w:w="6662" w:type="dxa"/>
            <w:vAlign w:val="center"/>
          </w:tcPr>
          <w:p w14:paraId="03BD04CC" w14:textId="64BA3D01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374ED1">
              <w:rPr>
                <w:sz w:val="18"/>
                <w:szCs w:val="18"/>
              </w:rPr>
              <w:t>Chloro(chloromethyl)dimethylsilane</w:t>
            </w:r>
          </w:p>
        </w:tc>
        <w:tc>
          <w:tcPr>
            <w:tcW w:w="1701" w:type="dxa"/>
            <w:vAlign w:val="center"/>
          </w:tcPr>
          <w:p w14:paraId="5F8F08FA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</w:t>
            </w:r>
          </w:p>
        </w:tc>
        <w:tc>
          <w:tcPr>
            <w:tcW w:w="5421" w:type="dxa"/>
            <w:vAlign w:val="center"/>
          </w:tcPr>
          <w:p w14:paraId="0D585B34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67A4E7F4" w14:textId="77777777" w:rsidTr="00283EF7">
        <w:tc>
          <w:tcPr>
            <w:tcW w:w="1277" w:type="dxa"/>
            <w:vAlign w:val="center"/>
          </w:tcPr>
          <w:p w14:paraId="50099C1D" w14:textId="40BD632F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1742-95-6</w:t>
            </w:r>
          </w:p>
        </w:tc>
        <w:tc>
          <w:tcPr>
            <w:tcW w:w="6662" w:type="dxa"/>
            <w:vAlign w:val="center"/>
          </w:tcPr>
          <w:p w14:paraId="19D17E2A" w14:textId="76F92B93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4-A</w:t>
            </w:r>
            <w:r w:rsidRPr="00374ED1">
              <w:rPr>
                <w:sz w:val="18"/>
                <w:szCs w:val="18"/>
              </w:rPr>
              <w:t>minonaphthalene-1,8-dicarboximide</w:t>
            </w:r>
          </w:p>
        </w:tc>
        <w:tc>
          <w:tcPr>
            <w:tcW w:w="1701" w:type="dxa"/>
            <w:vAlign w:val="center"/>
          </w:tcPr>
          <w:p w14:paraId="356A64C7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6178</w:t>
            </w:r>
          </w:p>
        </w:tc>
        <w:tc>
          <w:tcPr>
            <w:tcW w:w="5421" w:type="dxa"/>
            <w:vAlign w:val="center"/>
          </w:tcPr>
          <w:p w14:paraId="4DA90155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6C65AE09" w14:textId="77777777" w:rsidTr="00283EF7">
        <w:tc>
          <w:tcPr>
            <w:tcW w:w="1277" w:type="dxa"/>
            <w:vAlign w:val="center"/>
          </w:tcPr>
          <w:p w14:paraId="538EC2C0" w14:textId="3C92E115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2095-03-6</w:t>
            </w:r>
          </w:p>
        </w:tc>
        <w:tc>
          <w:tcPr>
            <w:tcW w:w="6662" w:type="dxa"/>
            <w:vAlign w:val="center"/>
          </w:tcPr>
          <w:p w14:paraId="3C635FD2" w14:textId="1BB6EC2A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2,2'-[M</w:t>
            </w:r>
            <w:r w:rsidRPr="00374ED1">
              <w:rPr>
                <w:sz w:val="18"/>
                <w:szCs w:val="18"/>
              </w:rPr>
              <w:t>ethylenebis(p-phenyleneoxymethylene)]bisoxirane</w:t>
            </w:r>
          </w:p>
        </w:tc>
        <w:tc>
          <w:tcPr>
            <w:tcW w:w="1701" w:type="dxa"/>
            <w:vAlign w:val="center"/>
          </w:tcPr>
          <w:p w14:paraId="35A88E5C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6296</w:t>
            </w:r>
          </w:p>
        </w:tc>
        <w:tc>
          <w:tcPr>
            <w:tcW w:w="5421" w:type="dxa"/>
            <w:vAlign w:val="center"/>
          </w:tcPr>
          <w:p w14:paraId="1E6A3AFD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25655358" w14:textId="77777777" w:rsidTr="00283EF7">
        <w:tc>
          <w:tcPr>
            <w:tcW w:w="1277" w:type="dxa"/>
            <w:vAlign w:val="center"/>
          </w:tcPr>
          <w:p w14:paraId="667438C8" w14:textId="69D1C8C1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2238-07-5</w:t>
            </w:r>
          </w:p>
        </w:tc>
        <w:tc>
          <w:tcPr>
            <w:tcW w:w="6662" w:type="dxa"/>
            <w:vAlign w:val="center"/>
          </w:tcPr>
          <w:p w14:paraId="13D27CF8" w14:textId="26D22222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2,2'-[O</w:t>
            </w:r>
            <w:r w:rsidRPr="0089600E">
              <w:rPr>
                <w:sz w:val="18"/>
                <w:szCs w:val="18"/>
              </w:rPr>
              <w:t>xybis(methylene)]bisoxirane</w:t>
            </w:r>
          </w:p>
        </w:tc>
        <w:tc>
          <w:tcPr>
            <w:tcW w:w="1701" w:type="dxa"/>
            <w:vAlign w:val="center"/>
          </w:tcPr>
          <w:p w14:paraId="5C6A5CE2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</w:t>
            </w:r>
          </w:p>
        </w:tc>
        <w:tc>
          <w:tcPr>
            <w:tcW w:w="5421" w:type="dxa"/>
            <w:vAlign w:val="center"/>
          </w:tcPr>
          <w:p w14:paraId="777A2EE1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7DFEF154" w14:textId="77777777" w:rsidTr="00283EF7">
        <w:tc>
          <w:tcPr>
            <w:tcW w:w="1277" w:type="dxa"/>
            <w:vAlign w:val="center"/>
          </w:tcPr>
          <w:p w14:paraId="5FB66AAA" w14:textId="300F840F" w:rsidR="00516D6E" w:rsidRPr="00754F54" w:rsidRDefault="00516D6E" w:rsidP="009F4BB3">
            <w:pPr>
              <w:spacing w:line="480" w:lineRule="auto"/>
              <w:rPr>
                <w:sz w:val="18"/>
                <w:szCs w:val="18"/>
                <w:lang w:val="it-IT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2478-20-8</w:t>
            </w:r>
          </w:p>
        </w:tc>
        <w:tc>
          <w:tcPr>
            <w:tcW w:w="6662" w:type="dxa"/>
            <w:vAlign w:val="center"/>
          </w:tcPr>
          <w:p w14:paraId="3B3B1622" w14:textId="13B346F9" w:rsidR="00516D6E" w:rsidRPr="00754F54" w:rsidRDefault="00516D6E" w:rsidP="009F4BB3">
            <w:pPr>
              <w:spacing w:line="480" w:lineRule="auto"/>
              <w:rPr>
                <w:sz w:val="18"/>
                <w:szCs w:val="18"/>
                <w:lang w:val="it-IT"/>
              </w:rPr>
            </w:pPr>
            <w:r w:rsidRPr="00754F54">
              <w:rPr>
                <w:sz w:val="18"/>
                <w:szCs w:val="18"/>
                <w:lang w:val="it-IT"/>
              </w:rPr>
              <w:t>6-Amino-2-(2,4-dimethylphenyl)-1H-benz[de]isoquinoline-1,3(2H)-dione</w:t>
            </w:r>
          </w:p>
        </w:tc>
        <w:tc>
          <w:tcPr>
            <w:tcW w:w="1701" w:type="dxa"/>
            <w:vAlign w:val="center"/>
          </w:tcPr>
          <w:p w14:paraId="25DC7154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421" w:type="dxa"/>
            <w:vAlign w:val="center"/>
          </w:tcPr>
          <w:p w14:paraId="14F45F76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in printing ink</w:t>
            </w:r>
          </w:p>
        </w:tc>
      </w:tr>
      <w:tr w:rsidR="00516D6E" w14:paraId="331558E9" w14:textId="77777777" w:rsidTr="00283EF7">
        <w:tc>
          <w:tcPr>
            <w:tcW w:w="1277" w:type="dxa"/>
            <w:vAlign w:val="center"/>
          </w:tcPr>
          <w:p w14:paraId="11D45523" w14:textId="5E49F529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2530-83-8</w:t>
            </w:r>
          </w:p>
        </w:tc>
        <w:tc>
          <w:tcPr>
            <w:tcW w:w="6662" w:type="dxa"/>
            <w:vAlign w:val="center"/>
          </w:tcPr>
          <w:p w14:paraId="387D1DF3" w14:textId="7426DC0A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[3-(2,3-E</w:t>
            </w:r>
            <w:r w:rsidRPr="00CF75A6">
              <w:rPr>
                <w:sz w:val="18"/>
                <w:szCs w:val="18"/>
              </w:rPr>
              <w:t>poxypropoxy)propyl]trimethoxysilane</w:t>
            </w:r>
          </w:p>
        </w:tc>
        <w:tc>
          <w:tcPr>
            <w:tcW w:w="1701" w:type="dxa"/>
            <w:vAlign w:val="center"/>
          </w:tcPr>
          <w:p w14:paraId="26945681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</w:t>
            </w:r>
          </w:p>
        </w:tc>
        <w:tc>
          <w:tcPr>
            <w:tcW w:w="5421" w:type="dxa"/>
            <w:vAlign w:val="center"/>
          </w:tcPr>
          <w:p w14:paraId="23C7625D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 and additive in paper and board</w:t>
            </w:r>
          </w:p>
        </w:tc>
      </w:tr>
      <w:tr w:rsidR="00516D6E" w14:paraId="42F35082" w14:textId="77777777" w:rsidTr="00283EF7">
        <w:tc>
          <w:tcPr>
            <w:tcW w:w="1277" w:type="dxa"/>
            <w:vAlign w:val="center"/>
          </w:tcPr>
          <w:p w14:paraId="468CE107" w14:textId="564F0B32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2602-34-8</w:t>
            </w:r>
          </w:p>
        </w:tc>
        <w:tc>
          <w:tcPr>
            <w:tcW w:w="6662" w:type="dxa"/>
            <w:vAlign w:val="center"/>
          </w:tcPr>
          <w:p w14:paraId="5500B54A" w14:textId="19D2C99A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[3-(2,3-E</w:t>
            </w:r>
            <w:r w:rsidRPr="00CF75A6">
              <w:rPr>
                <w:sz w:val="18"/>
                <w:szCs w:val="18"/>
              </w:rPr>
              <w:t>poxypropoxy)propyl]triethoxysilane</w:t>
            </w:r>
          </w:p>
        </w:tc>
        <w:tc>
          <w:tcPr>
            <w:tcW w:w="1701" w:type="dxa"/>
            <w:vAlign w:val="center"/>
          </w:tcPr>
          <w:p w14:paraId="50AC60BB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</w:t>
            </w:r>
          </w:p>
        </w:tc>
        <w:tc>
          <w:tcPr>
            <w:tcW w:w="5421" w:type="dxa"/>
            <w:vAlign w:val="center"/>
          </w:tcPr>
          <w:p w14:paraId="0007B690" w14:textId="77777777" w:rsidR="00516D6E" w:rsidRPr="00417E73" w:rsidRDefault="00516D6E" w:rsidP="00CF75A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and additive in printing ink</w:t>
            </w:r>
          </w:p>
        </w:tc>
      </w:tr>
      <w:tr w:rsidR="00516D6E" w14:paraId="178C547E" w14:textId="77777777" w:rsidTr="00283EF7">
        <w:tc>
          <w:tcPr>
            <w:tcW w:w="1277" w:type="dxa"/>
            <w:vAlign w:val="center"/>
          </w:tcPr>
          <w:p w14:paraId="4384899A" w14:textId="316D6D2F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2897-60-1</w:t>
            </w:r>
          </w:p>
        </w:tc>
        <w:tc>
          <w:tcPr>
            <w:tcW w:w="6662" w:type="dxa"/>
            <w:vAlign w:val="center"/>
          </w:tcPr>
          <w:p w14:paraId="0B646CCA" w14:textId="25A19958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[3-(2,3-E</w:t>
            </w:r>
            <w:r w:rsidRPr="00DC69B5">
              <w:rPr>
                <w:sz w:val="18"/>
                <w:szCs w:val="18"/>
              </w:rPr>
              <w:t>poxypropoxy)propyl]diethoxymethylsilane</w:t>
            </w:r>
          </w:p>
        </w:tc>
        <w:tc>
          <w:tcPr>
            <w:tcW w:w="1701" w:type="dxa"/>
            <w:vAlign w:val="center"/>
          </w:tcPr>
          <w:p w14:paraId="0354376D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</w:t>
            </w:r>
          </w:p>
        </w:tc>
        <w:tc>
          <w:tcPr>
            <w:tcW w:w="5421" w:type="dxa"/>
            <w:vAlign w:val="center"/>
          </w:tcPr>
          <w:p w14:paraId="50DF09EB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44AA8956" w14:textId="77777777" w:rsidTr="00283EF7">
        <w:tc>
          <w:tcPr>
            <w:tcW w:w="1277" w:type="dxa"/>
            <w:vAlign w:val="center"/>
          </w:tcPr>
          <w:p w14:paraId="4E026CC1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3049-71-6</w:t>
            </w:r>
          </w:p>
          <w:p w14:paraId="61CE0157" w14:textId="77777777" w:rsidR="00516D6E" w:rsidRPr="00C77E37" w:rsidRDefault="00516D6E" w:rsidP="00C77E3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7D922143" w14:textId="4E9FC178" w:rsidR="00516D6E" w:rsidRPr="00417E73" w:rsidRDefault="00516D6E" w:rsidP="00C77E37">
            <w:pPr>
              <w:spacing w:line="480" w:lineRule="auto"/>
              <w:rPr>
                <w:sz w:val="18"/>
                <w:szCs w:val="18"/>
              </w:rPr>
            </w:pPr>
            <w:r w:rsidRPr="00C77E37">
              <w:rPr>
                <w:sz w:val="18"/>
                <w:szCs w:val="18"/>
              </w:rPr>
              <w:t>2,9-</w:t>
            </w:r>
            <w:r>
              <w:rPr>
                <w:sz w:val="18"/>
                <w:szCs w:val="18"/>
              </w:rPr>
              <w:t>B</w:t>
            </w:r>
            <w:r w:rsidRPr="00C77E37">
              <w:rPr>
                <w:sz w:val="18"/>
                <w:szCs w:val="18"/>
              </w:rPr>
              <w:t>is[4-(phenylazo)phenyl]anthra[2,1,9-def:6,5,10-d'e'f']diisoquinoline-1,3,8,10(2H,9H)-tetrone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E6A1F6B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</w:t>
            </w:r>
          </w:p>
          <w:p w14:paraId="68441A52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17B29C73" w14:textId="77777777" w:rsidR="00516D6E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3A28A764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2FD59A9E" w14:textId="77777777" w:rsidTr="00283EF7">
        <w:tc>
          <w:tcPr>
            <w:tcW w:w="1277" w:type="dxa"/>
            <w:vAlign w:val="center"/>
          </w:tcPr>
          <w:p w14:paraId="71112944" w14:textId="4E13094B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3126-95-2</w:t>
            </w:r>
          </w:p>
        </w:tc>
        <w:tc>
          <w:tcPr>
            <w:tcW w:w="6662" w:type="dxa"/>
            <w:vAlign w:val="center"/>
          </w:tcPr>
          <w:p w14:paraId="5D637232" w14:textId="37166443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</w:t>
            </w:r>
            <w:r w:rsidRPr="00C77E37">
              <w:rPr>
                <w:sz w:val="18"/>
                <w:szCs w:val="18"/>
              </w:rPr>
              <w:t>ropoxymethyl)oxirane</w:t>
            </w:r>
          </w:p>
        </w:tc>
        <w:tc>
          <w:tcPr>
            <w:tcW w:w="1701" w:type="dxa"/>
            <w:vAlign w:val="center"/>
          </w:tcPr>
          <w:p w14:paraId="445A7F8B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</w:t>
            </w:r>
          </w:p>
        </w:tc>
        <w:tc>
          <w:tcPr>
            <w:tcW w:w="5421" w:type="dxa"/>
            <w:vAlign w:val="center"/>
          </w:tcPr>
          <w:p w14:paraId="5EDBC306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7E92FC37" w14:textId="77777777" w:rsidTr="00283EF7">
        <w:tc>
          <w:tcPr>
            <w:tcW w:w="1277" w:type="dxa"/>
            <w:vAlign w:val="center"/>
          </w:tcPr>
          <w:p w14:paraId="6A694ED2" w14:textId="4B5872A3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3176-79-2</w:t>
            </w:r>
          </w:p>
        </w:tc>
        <w:tc>
          <w:tcPr>
            <w:tcW w:w="6662" w:type="dxa"/>
            <w:vAlign w:val="center"/>
          </w:tcPr>
          <w:p w14:paraId="30996648" w14:textId="3A69081F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1-[[3-M</w:t>
            </w:r>
            <w:r w:rsidRPr="00C77E37">
              <w:rPr>
                <w:sz w:val="18"/>
                <w:szCs w:val="18"/>
              </w:rPr>
              <w:t>ethyl-4-[(3-methylphenyl)azo]phenyl]azo]-2-naphthol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14:paraId="76C3206D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421" w:type="dxa"/>
            <w:vAlign w:val="center"/>
          </w:tcPr>
          <w:p w14:paraId="36BFFE7E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  <w:tr w:rsidR="00516D6E" w14:paraId="202F9A1C" w14:textId="77777777" w:rsidTr="00283EF7">
        <w:tc>
          <w:tcPr>
            <w:tcW w:w="1277" w:type="dxa"/>
            <w:vAlign w:val="center"/>
          </w:tcPr>
          <w:p w14:paraId="10FCADB7" w14:textId="1B32C2BD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3271-22-5</w:t>
            </w:r>
          </w:p>
        </w:tc>
        <w:tc>
          <w:tcPr>
            <w:tcW w:w="6662" w:type="dxa"/>
            <w:vAlign w:val="center"/>
          </w:tcPr>
          <w:p w14:paraId="67E2BF04" w14:textId="6501CC04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2,4-D</w:t>
            </w:r>
            <w:r w:rsidRPr="00D47C93">
              <w:rPr>
                <w:sz w:val="18"/>
                <w:szCs w:val="18"/>
              </w:rPr>
              <w:t>imethoxy-6-pyren-1-yl-1,3,5-triazine</w:t>
            </w:r>
          </w:p>
        </w:tc>
        <w:tc>
          <w:tcPr>
            <w:tcW w:w="1701" w:type="dxa"/>
            <w:vAlign w:val="center"/>
          </w:tcPr>
          <w:p w14:paraId="6B451CCE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</w:t>
            </w:r>
          </w:p>
        </w:tc>
        <w:tc>
          <w:tcPr>
            <w:tcW w:w="5421" w:type="dxa"/>
            <w:vAlign w:val="center"/>
          </w:tcPr>
          <w:p w14:paraId="556F0C16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01E240E3" w14:textId="77777777" w:rsidTr="00283EF7">
        <w:tc>
          <w:tcPr>
            <w:tcW w:w="1277" w:type="dxa"/>
            <w:vAlign w:val="center"/>
          </w:tcPr>
          <w:p w14:paraId="658C5D5E" w14:textId="0565993E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3454-29-3</w:t>
            </w:r>
          </w:p>
        </w:tc>
        <w:tc>
          <w:tcPr>
            <w:tcW w:w="6662" w:type="dxa"/>
            <w:vAlign w:val="center"/>
          </w:tcPr>
          <w:p w14:paraId="5D37F026" w14:textId="48A10D69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1-(2,3-E</w:t>
            </w:r>
            <w:r w:rsidRPr="00D47C93">
              <w:rPr>
                <w:sz w:val="18"/>
                <w:szCs w:val="18"/>
              </w:rPr>
              <w:t>poxypropoxy)-2,2-bis[(2,3-epoxypropoxy)methyl]butane</w:t>
            </w:r>
          </w:p>
        </w:tc>
        <w:tc>
          <w:tcPr>
            <w:tcW w:w="1701" w:type="dxa"/>
            <w:vAlign w:val="center"/>
          </w:tcPr>
          <w:p w14:paraId="3FADAE75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7403</w:t>
            </w:r>
          </w:p>
        </w:tc>
        <w:tc>
          <w:tcPr>
            <w:tcW w:w="5421" w:type="dxa"/>
            <w:vAlign w:val="center"/>
          </w:tcPr>
          <w:p w14:paraId="050A9427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5D425C9F" w14:textId="77777777" w:rsidTr="00283EF7">
        <w:tc>
          <w:tcPr>
            <w:tcW w:w="1277" w:type="dxa"/>
            <w:vAlign w:val="center"/>
          </w:tcPr>
          <w:p w14:paraId="362207BE" w14:textId="25B48510" w:rsidR="00516D6E" w:rsidRPr="00754F54" w:rsidRDefault="00516D6E" w:rsidP="009F4BB3">
            <w:pPr>
              <w:spacing w:line="480" w:lineRule="auto"/>
              <w:rPr>
                <w:sz w:val="18"/>
                <w:szCs w:val="18"/>
                <w:lang w:val="it-IT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4378-61-4</w:t>
            </w:r>
          </w:p>
        </w:tc>
        <w:tc>
          <w:tcPr>
            <w:tcW w:w="6662" w:type="dxa"/>
            <w:vAlign w:val="center"/>
          </w:tcPr>
          <w:p w14:paraId="5FDFF817" w14:textId="54E6D263" w:rsidR="00516D6E" w:rsidRPr="00754F54" w:rsidRDefault="00516D6E" w:rsidP="009F4BB3">
            <w:pPr>
              <w:spacing w:line="480" w:lineRule="auto"/>
              <w:rPr>
                <w:sz w:val="18"/>
                <w:szCs w:val="18"/>
                <w:lang w:val="it-IT"/>
              </w:rPr>
            </w:pPr>
            <w:r w:rsidRPr="00754F54">
              <w:rPr>
                <w:sz w:val="18"/>
                <w:szCs w:val="18"/>
                <w:lang w:val="it-IT"/>
              </w:rPr>
              <w:t>4,10-Dibromodibenzo[def,mno]chrysene-6,12-dione</w:t>
            </w:r>
          </w:p>
        </w:tc>
        <w:tc>
          <w:tcPr>
            <w:tcW w:w="1701" w:type="dxa"/>
            <w:vAlign w:val="center"/>
          </w:tcPr>
          <w:p w14:paraId="051710E2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</w:t>
            </w:r>
          </w:p>
        </w:tc>
        <w:tc>
          <w:tcPr>
            <w:tcW w:w="5421" w:type="dxa"/>
            <w:vAlign w:val="center"/>
          </w:tcPr>
          <w:p w14:paraId="60EF7402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in printing ink</w:t>
            </w:r>
          </w:p>
        </w:tc>
      </w:tr>
      <w:tr w:rsidR="00516D6E" w14:paraId="0A5075B3" w14:textId="77777777" w:rsidTr="00283EF7">
        <w:tc>
          <w:tcPr>
            <w:tcW w:w="1277" w:type="dxa"/>
            <w:vAlign w:val="center"/>
          </w:tcPr>
          <w:p w14:paraId="71C9B547" w14:textId="196190BB" w:rsidR="00516D6E" w:rsidRPr="00A620BD" w:rsidRDefault="00516D6E" w:rsidP="00A620BD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4482-25-1</w:t>
            </w:r>
          </w:p>
        </w:tc>
        <w:tc>
          <w:tcPr>
            <w:tcW w:w="6662" w:type="dxa"/>
            <w:vAlign w:val="center"/>
          </w:tcPr>
          <w:p w14:paraId="55E82F2E" w14:textId="528FCD74" w:rsidR="00516D6E" w:rsidRPr="00417E73" w:rsidRDefault="00516D6E" w:rsidP="00A620BD">
            <w:pPr>
              <w:spacing w:line="480" w:lineRule="auto"/>
              <w:rPr>
                <w:sz w:val="18"/>
                <w:szCs w:val="18"/>
              </w:rPr>
            </w:pPr>
            <w:r w:rsidRPr="00A620BD">
              <w:rPr>
                <w:sz w:val="18"/>
                <w:szCs w:val="18"/>
              </w:rPr>
              <w:t>5,5'-[(4-</w:t>
            </w:r>
            <w:r>
              <w:rPr>
                <w:sz w:val="18"/>
                <w:szCs w:val="18"/>
              </w:rPr>
              <w:t>M</w:t>
            </w:r>
            <w:r w:rsidRPr="00A620BD">
              <w:rPr>
                <w:sz w:val="18"/>
                <w:szCs w:val="18"/>
              </w:rPr>
              <w:t>ethyl-1,3-phenylene)bis(azo)]bis[toluene-2,4-diamine]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14:paraId="4F14794C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3907</w:t>
            </w:r>
          </w:p>
        </w:tc>
        <w:tc>
          <w:tcPr>
            <w:tcW w:w="5421" w:type="dxa"/>
            <w:vAlign w:val="center"/>
          </w:tcPr>
          <w:p w14:paraId="5F7E4601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(with aromatic azo structure) in printing ink</w:t>
            </w:r>
          </w:p>
        </w:tc>
      </w:tr>
      <w:tr w:rsidR="00516D6E" w14:paraId="5E0A4DDD" w14:textId="77777777" w:rsidTr="00283EF7">
        <w:tc>
          <w:tcPr>
            <w:tcW w:w="1277" w:type="dxa"/>
            <w:vAlign w:val="center"/>
          </w:tcPr>
          <w:p w14:paraId="3F2F9C83" w14:textId="4EFA0836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5026-74-4</w:t>
            </w:r>
          </w:p>
        </w:tc>
        <w:tc>
          <w:tcPr>
            <w:tcW w:w="6662" w:type="dxa"/>
            <w:vAlign w:val="center"/>
          </w:tcPr>
          <w:p w14:paraId="4BC005A1" w14:textId="623C5256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p-(2,3-E</w:t>
            </w:r>
            <w:r w:rsidRPr="00A620BD">
              <w:rPr>
                <w:sz w:val="18"/>
                <w:szCs w:val="18"/>
              </w:rPr>
              <w:t>poxypropoxy)-N,N-bis(2,3-epoxypropyl)aniline</w:t>
            </w:r>
          </w:p>
        </w:tc>
        <w:tc>
          <w:tcPr>
            <w:tcW w:w="1701" w:type="dxa"/>
            <w:vAlign w:val="center"/>
          </w:tcPr>
          <w:p w14:paraId="6E8356E4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6358</w:t>
            </w:r>
          </w:p>
        </w:tc>
        <w:tc>
          <w:tcPr>
            <w:tcW w:w="5421" w:type="dxa"/>
            <w:vAlign w:val="center"/>
          </w:tcPr>
          <w:p w14:paraId="3FA9540D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2390E1C3" w14:textId="77777777" w:rsidTr="00283EF7">
        <w:tc>
          <w:tcPr>
            <w:tcW w:w="1277" w:type="dxa"/>
            <w:vAlign w:val="center"/>
          </w:tcPr>
          <w:p w14:paraId="6D356A17" w14:textId="6919D4E2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6410-38-4</w:t>
            </w:r>
          </w:p>
        </w:tc>
        <w:tc>
          <w:tcPr>
            <w:tcW w:w="6662" w:type="dxa"/>
            <w:vAlign w:val="center"/>
          </w:tcPr>
          <w:p w14:paraId="4C59FAA4" w14:textId="20941D51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4-[(2,5-D</w:t>
            </w:r>
            <w:r w:rsidRPr="00A620BD">
              <w:rPr>
                <w:sz w:val="18"/>
                <w:szCs w:val="18"/>
              </w:rPr>
              <w:t>ichlorophenyl)azo]-3-hydroxy-N-(2-methoxyphenyl)naphthalene-2-carboxamide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B46071C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</w:t>
            </w:r>
          </w:p>
        </w:tc>
        <w:tc>
          <w:tcPr>
            <w:tcW w:w="5421" w:type="dxa"/>
            <w:vAlign w:val="center"/>
          </w:tcPr>
          <w:p w14:paraId="788BBAF9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  <w:tr w:rsidR="00516D6E" w14:paraId="4AA87BD3" w14:textId="77777777" w:rsidTr="00283EF7">
        <w:tc>
          <w:tcPr>
            <w:tcW w:w="1277" w:type="dxa"/>
            <w:vAlign w:val="center"/>
          </w:tcPr>
          <w:p w14:paraId="224BA561" w14:textId="1F08D711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6448-95-9</w:t>
            </w:r>
          </w:p>
        </w:tc>
        <w:tc>
          <w:tcPr>
            <w:tcW w:w="6662" w:type="dxa"/>
            <w:vAlign w:val="center"/>
          </w:tcPr>
          <w:p w14:paraId="0831C0B2" w14:textId="3533E101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3-H</w:t>
            </w:r>
            <w:r w:rsidRPr="00A620BD">
              <w:rPr>
                <w:sz w:val="18"/>
                <w:szCs w:val="18"/>
              </w:rPr>
              <w:t>ydroxy-4-[(2-methyl-5-nitrophenyl)azo]-N-phenylnaphthalene-2-carboxamide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D13585C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</w:tc>
        <w:tc>
          <w:tcPr>
            <w:tcW w:w="5421" w:type="dxa"/>
            <w:vAlign w:val="center"/>
          </w:tcPr>
          <w:p w14:paraId="2A319186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  <w:tr w:rsidR="00516D6E" w14:paraId="100A1697" w14:textId="77777777" w:rsidTr="00283EF7">
        <w:tc>
          <w:tcPr>
            <w:tcW w:w="1277" w:type="dxa"/>
            <w:vAlign w:val="center"/>
          </w:tcPr>
          <w:p w14:paraId="312F6F68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6471-50-7</w:t>
            </w:r>
          </w:p>
          <w:p w14:paraId="604FF578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3CA325B2" w14:textId="4B142EB0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4-[(4-C</w:t>
            </w:r>
            <w:r w:rsidRPr="00A620BD">
              <w:rPr>
                <w:sz w:val="18"/>
                <w:szCs w:val="18"/>
              </w:rPr>
              <w:t>hloro-2-nitrophenyl)azo]-3-hydroxy-N-(2-methylphenyl)naphthalene-2-carboxamide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1E9EC32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14:paraId="26170DB6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5D75C6E6" w14:textId="77777777" w:rsidR="00516D6E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0A5C3FD9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33703210" w14:textId="77777777" w:rsidTr="00283EF7">
        <w:tc>
          <w:tcPr>
            <w:tcW w:w="1277" w:type="dxa"/>
            <w:vAlign w:val="center"/>
          </w:tcPr>
          <w:p w14:paraId="03D1C685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6539-67-9</w:t>
            </w:r>
          </w:p>
          <w:p w14:paraId="7DFE2ACF" w14:textId="77777777" w:rsidR="00516D6E" w:rsidRPr="00754F54" w:rsidRDefault="00516D6E" w:rsidP="009F4BB3">
            <w:pPr>
              <w:spacing w:line="48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6662" w:type="dxa"/>
            <w:vAlign w:val="center"/>
          </w:tcPr>
          <w:p w14:paraId="6E115F84" w14:textId="7688ED22" w:rsidR="00516D6E" w:rsidRPr="00754F54" w:rsidRDefault="00516D6E" w:rsidP="009F4BB3">
            <w:pPr>
              <w:spacing w:line="480" w:lineRule="auto"/>
              <w:rPr>
                <w:sz w:val="18"/>
                <w:szCs w:val="18"/>
                <w:lang w:val="it-IT"/>
              </w:rPr>
            </w:pPr>
            <w:r w:rsidRPr="00754F54">
              <w:rPr>
                <w:sz w:val="18"/>
                <w:szCs w:val="18"/>
                <w:lang w:val="it-IT"/>
              </w:rPr>
              <w:t>3-[[2-(Acetylamino)-4-[(4-amino-6-chloro-1,3,5-triazin-2-yl)amino]phenyl]azo]naphthalene-1,5-disulphonic acid</w:t>
            </w:r>
          </w:p>
        </w:tc>
        <w:tc>
          <w:tcPr>
            <w:tcW w:w="1701" w:type="dxa"/>
            <w:vAlign w:val="center"/>
          </w:tcPr>
          <w:p w14:paraId="216222B1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14:paraId="4CD99DF7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538DF960" w14:textId="77777777" w:rsidR="00516D6E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08A4C041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1EA684DD" w14:textId="77777777" w:rsidTr="00283EF7">
        <w:tc>
          <w:tcPr>
            <w:tcW w:w="1277" w:type="dxa"/>
            <w:vAlign w:val="center"/>
          </w:tcPr>
          <w:p w14:paraId="6732F126" w14:textId="21B998B6" w:rsidR="00516D6E" w:rsidRDefault="00516D6E" w:rsidP="006B3925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6655-84-1</w:t>
            </w:r>
          </w:p>
        </w:tc>
        <w:tc>
          <w:tcPr>
            <w:tcW w:w="6662" w:type="dxa"/>
            <w:vAlign w:val="center"/>
          </w:tcPr>
          <w:p w14:paraId="723D6F58" w14:textId="1ABD31FA" w:rsidR="00516D6E" w:rsidRPr="00417E73" w:rsidRDefault="00516D6E" w:rsidP="006B3925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3-H</w:t>
            </w:r>
            <w:r w:rsidRPr="00A620BD">
              <w:rPr>
                <w:sz w:val="18"/>
                <w:szCs w:val="18"/>
              </w:rPr>
              <w:t>ydroxy-4-[(2-methyl-5-nitrophenyl)azo]-N-(o-tolyl)naphthalene-2-carboxamide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28D3BD6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</w:t>
            </w:r>
          </w:p>
        </w:tc>
        <w:tc>
          <w:tcPr>
            <w:tcW w:w="5421" w:type="dxa"/>
            <w:vAlign w:val="center"/>
          </w:tcPr>
          <w:p w14:paraId="6F3D5303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  <w:tr w:rsidR="00516D6E" w14:paraId="2543F891" w14:textId="77777777" w:rsidTr="00283EF7">
        <w:tc>
          <w:tcPr>
            <w:tcW w:w="1277" w:type="dxa"/>
            <w:vAlign w:val="center"/>
          </w:tcPr>
          <w:p w14:paraId="2891E883" w14:textId="6824410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7328-97-4</w:t>
            </w:r>
          </w:p>
        </w:tc>
        <w:tc>
          <w:tcPr>
            <w:tcW w:w="6662" w:type="dxa"/>
            <w:vAlign w:val="center"/>
          </w:tcPr>
          <w:p w14:paraId="7543E5FA" w14:textId="285A3AE3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2,2',2'',2'''-[E</w:t>
            </w:r>
            <w:r w:rsidRPr="00EF3D5B">
              <w:rPr>
                <w:sz w:val="18"/>
                <w:szCs w:val="18"/>
              </w:rPr>
              <w:t>thane-1,2-diylidenetetrakis(p-phenyleneoxymethylene)]tetraoxirane</w:t>
            </w:r>
          </w:p>
        </w:tc>
        <w:tc>
          <w:tcPr>
            <w:tcW w:w="1701" w:type="dxa"/>
            <w:vAlign w:val="center"/>
          </w:tcPr>
          <w:p w14:paraId="06CEA6F8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</w:t>
            </w:r>
          </w:p>
        </w:tc>
        <w:tc>
          <w:tcPr>
            <w:tcW w:w="5421" w:type="dxa"/>
            <w:vAlign w:val="center"/>
          </w:tcPr>
          <w:p w14:paraId="40E82799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5B9EF5EB" w14:textId="77777777" w:rsidTr="00283EF7">
        <w:tc>
          <w:tcPr>
            <w:tcW w:w="1277" w:type="dxa"/>
            <w:vAlign w:val="center"/>
          </w:tcPr>
          <w:p w14:paraId="51DF8B40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12225-06-8</w:t>
            </w:r>
          </w:p>
          <w:p w14:paraId="726ACB7C" w14:textId="77777777" w:rsidR="00516D6E" w:rsidRPr="002A5FA1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3BA3A04D" w14:textId="0091BF76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2A5FA1">
              <w:rPr>
                <w:sz w:val="18"/>
                <w:szCs w:val="18"/>
              </w:rPr>
              <w:t>N-(2,3-dihydro-2-oxo-1H-benzimidazol-5-yl)-3-hydroxy-4-[[2-methoxy-5-[(phenylamino)carbonyl]phenyl]azo]naphthalene-2-carboxamide</w:t>
            </w:r>
          </w:p>
        </w:tc>
        <w:tc>
          <w:tcPr>
            <w:tcW w:w="1701" w:type="dxa"/>
            <w:vAlign w:val="center"/>
          </w:tcPr>
          <w:p w14:paraId="265BA921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2997</w:t>
            </w:r>
          </w:p>
          <w:p w14:paraId="25742152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732F0175" w14:textId="77777777" w:rsidR="00516D6E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6D57C7F5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2D4C3BCC" w14:textId="77777777" w:rsidTr="00283EF7">
        <w:tc>
          <w:tcPr>
            <w:tcW w:w="1277" w:type="dxa"/>
            <w:vAlign w:val="center"/>
          </w:tcPr>
          <w:p w14:paraId="07EDEAB3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12236-64-5</w:t>
            </w:r>
          </w:p>
          <w:p w14:paraId="46916D8A" w14:textId="77777777" w:rsidR="00516D6E" w:rsidRPr="00FF0A84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7C4D1235" w14:textId="060D480A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FF0A84">
              <w:rPr>
                <w:sz w:val="18"/>
                <w:szCs w:val="18"/>
              </w:rPr>
              <w:t>N-[4-(acetylamino)phenyl]-4-[[5-(aminocarbonyl)-2-chlorophenyl]azo]-3-hydroxynaphthalene-2-carboxamide</w:t>
            </w:r>
          </w:p>
        </w:tc>
        <w:tc>
          <w:tcPr>
            <w:tcW w:w="1701" w:type="dxa"/>
            <w:vAlign w:val="center"/>
          </w:tcPr>
          <w:p w14:paraId="04708666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</w:t>
            </w:r>
          </w:p>
          <w:p w14:paraId="6BE0BAB6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2767D925" w14:textId="77777777" w:rsidR="00516D6E" w:rsidRDefault="00516D6E" w:rsidP="00FF0A8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56023230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1C0C2899" w14:textId="77777777" w:rsidTr="00283EF7">
        <w:tc>
          <w:tcPr>
            <w:tcW w:w="1277" w:type="dxa"/>
            <w:vAlign w:val="center"/>
          </w:tcPr>
          <w:p w14:paraId="0BC682F7" w14:textId="4D517D5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13236-02-7</w:t>
            </w:r>
          </w:p>
        </w:tc>
        <w:tc>
          <w:tcPr>
            <w:tcW w:w="6662" w:type="dxa"/>
            <w:vAlign w:val="center"/>
          </w:tcPr>
          <w:p w14:paraId="609ECB36" w14:textId="5424330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1,2,3-T</w:t>
            </w:r>
            <w:r w:rsidRPr="00FF0A84">
              <w:rPr>
                <w:sz w:val="18"/>
                <w:szCs w:val="18"/>
              </w:rPr>
              <w:t>ris(2,3-epoxypropoxy)propane</w:t>
            </w:r>
          </w:p>
        </w:tc>
        <w:tc>
          <w:tcPr>
            <w:tcW w:w="1701" w:type="dxa"/>
            <w:vAlign w:val="center"/>
          </w:tcPr>
          <w:p w14:paraId="1EBDFFA1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6836</w:t>
            </w:r>
          </w:p>
        </w:tc>
        <w:tc>
          <w:tcPr>
            <w:tcW w:w="5421" w:type="dxa"/>
            <w:vAlign w:val="center"/>
          </w:tcPr>
          <w:p w14:paraId="7A048FC3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03B3A0DD" w14:textId="77777777" w:rsidTr="00283EF7">
        <w:tc>
          <w:tcPr>
            <w:tcW w:w="1277" w:type="dxa"/>
            <w:vAlign w:val="center"/>
          </w:tcPr>
          <w:p w14:paraId="28B6E955" w14:textId="4A4241CE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14228-73-0</w:t>
            </w:r>
          </w:p>
        </w:tc>
        <w:tc>
          <w:tcPr>
            <w:tcW w:w="6662" w:type="dxa"/>
            <w:vAlign w:val="center"/>
          </w:tcPr>
          <w:p w14:paraId="197E39B2" w14:textId="599AF50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1,4-B</w:t>
            </w:r>
            <w:r w:rsidRPr="00FF0A84">
              <w:rPr>
                <w:sz w:val="18"/>
                <w:szCs w:val="18"/>
              </w:rPr>
              <w:t>is[(2,3-epoxypropoxy)methyl]cyclohexane</w:t>
            </w:r>
          </w:p>
        </w:tc>
        <w:tc>
          <w:tcPr>
            <w:tcW w:w="1701" w:type="dxa"/>
            <w:vAlign w:val="center"/>
          </w:tcPr>
          <w:p w14:paraId="0C73B062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</w:t>
            </w:r>
          </w:p>
        </w:tc>
        <w:tc>
          <w:tcPr>
            <w:tcW w:w="5421" w:type="dxa"/>
            <w:vAlign w:val="center"/>
          </w:tcPr>
          <w:p w14:paraId="4D424DE8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07999A8B" w14:textId="77777777" w:rsidTr="00283EF7">
        <w:tc>
          <w:tcPr>
            <w:tcW w:w="1277" w:type="dxa"/>
            <w:vAlign w:val="center"/>
          </w:tcPr>
          <w:p w14:paraId="158853FB" w14:textId="6AE35573" w:rsidR="00516D6E" w:rsidRDefault="00516D6E" w:rsidP="009F4BB3">
            <w:pPr>
              <w:spacing w:line="480" w:lineRule="auto"/>
              <w:rPr>
                <w:sz w:val="18"/>
                <w:szCs w:val="18"/>
                <w:lang w:val="nl-NL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16096-30-3</w:t>
            </w:r>
          </w:p>
        </w:tc>
        <w:tc>
          <w:tcPr>
            <w:tcW w:w="6662" w:type="dxa"/>
            <w:vAlign w:val="center"/>
          </w:tcPr>
          <w:p w14:paraId="1D2F0120" w14:textId="0C2228EA" w:rsidR="00516D6E" w:rsidRPr="00FF0A84" w:rsidRDefault="00516D6E" w:rsidP="009F4BB3">
            <w:pPr>
              <w:spacing w:line="480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2,2'-[(1-M</w:t>
            </w:r>
            <w:r w:rsidRPr="00FF0A84">
              <w:rPr>
                <w:sz w:val="18"/>
                <w:szCs w:val="18"/>
                <w:lang w:val="nl-NL"/>
              </w:rPr>
              <w:t>ethylethylene)bis(oxymethylene)]bisoxirane</w:t>
            </w:r>
          </w:p>
        </w:tc>
        <w:tc>
          <w:tcPr>
            <w:tcW w:w="1701" w:type="dxa"/>
            <w:vAlign w:val="center"/>
          </w:tcPr>
          <w:p w14:paraId="660D2190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</w:t>
            </w:r>
          </w:p>
        </w:tc>
        <w:tc>
          <w:tcPr>
            <w:tcW w:w="5421" w:type="dxa"/>
            <w:vAlign w:val="center"/>
          </w:tcPr>
          <w:p w14:paraId="20CD85FA" w14:textId="77777777" w:rsidR="00516D6E" w:rsidRPr="00417E73" w:rsidRDefault="00516D6E" w:rsidP="00765C2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2539E65A" w14:textId="77777777" w:rsidTr="00283EF7">
        <w:tc>
          <w:tcPr>
            <w:tcW w:w="1277" w:type="dxa"/>
            <w:vAlign w:val="center"/>
          </w:tcPr>
          <w:p w14:paraId="6E55834C" w14:textId="2E51FFE9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16096-31-4</w:t>
            </w:r>
          </w:p>
        </w:tc>
        <w:tc>
          <w:tcPr>
            <w:tcW w:w="6662" w:type="dxa"/>
            <w:vAlign w:val="center"/>
          </w:tcPr>
          <w:p w14:paraId="2ACA8E5B" w14:textId="2A0A75CA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1,6-B</w:t>
            </w:r>
            <w:r w:rsidRPr="00F72D55">
              <w:rPr>
                <w:sz w:val="18"/>
                <w:szCs w:val="18"/>
              </w:rPr>
              <w:t>is(2,3-epoxypropoxy)hexane</w:t>
            </w:r>
          </w:p>
        </w:tc>
        <w:tc>
          <w:tcPr>
            <w:tcW w:w="1701" w:type="dxa"/>
            <w:vAlign w:val="center"/>
          </w:tcPr>
          <w:p w14:paraId="7372A8A3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</w:t>
            </w:r>
          </w:p>
        </w:tc>
        <w:tc>
          <w:tcPr>
            <w:tcW w:w="5421" w:type="dxa"/>
            <w:vAlign w:val="center"/>
          </w:tcPr>
          <w:p w14:paraId="10BC5C9E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and solvent in printing ink</w:t>
            </w:r>
          </w:p>
        </w:tc>
      </w:tr>
      <w:tr w:rsidR="00516D6E" w14:paraId="0E63FCA6" w14:textId="77777777" w:rsidTr="00283EF7">
        <w:tc>
          <w:tcPr>
            <w:tcW w:w="1277" w:type="dxa"/>
            <w:vAlign w:val="center"/>
          </w:tcPr>
          <w:p w14:paraId="0FB4C4D6" w14:textId="1AD34D1D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16403-84-2</w:t>
            </w:r>
          </w:p>
        </w:tc>
        <w:tc>
          <w:tcPr>
            <w:tcW w:w="6662" w:type="dxa"/>
            <w:vAlign w:val="center"/>
          </w:tcPr>
          <w:p w14:paraId="3946D314" w14:textId="619AEE4C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4-[(5-C</w:t>
            </w:r>
            <w:r w:rsidRPr="00765C20">
              <w:rPr>
                <w:sz w:val="18"/>
                <w:szCs w:val="18"/>
              </w:rPr>
              <w:t>arbamoyl-o-tolyl)azo]-3-hydroxynaphth-2-anilide</w:t>
            </w:r>
          </w:p>
        </w:tc>
        <w:tc>
          <w:tcPr>
            <w:tcW w:w="1701" w:type="dxa"/>
            <w:vAlign w:val="center"/>
          </w:tcPr>
          <w:p w14:paraId="7657C0EA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</w:t>
            </w:r>
          </w:p>
        </w:tc>
        <w:tc>
          <w:tcPr>
            <w:tcW w:w="5421" w:type="dxa"/>
            <w:vAlign w:val="center"/>
          </w:tcPr>
          <w:p w14:paraId="1F90BB09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  <w:tr w:rsidR="00516D6E" w14:paraId="2217051F" w14:textId="77777777" w:rsidTr="00283EF7">
        <w:tc>
          <w:tcPr>
            <w:tcW w:w="1277" w:type="dxa"/>
            <w:vAlign w:val="center"/>
          </w:tcPr>
          <w:p w14:paraId="3741FF3E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25188-42-5</w:t>
            </w:r>
          </w:p>
          <w:p w14:paraId="24CE4FCD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2CE01E82" w14:textId="24EFF673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7-B</w:t>
            </w:r>
            <w:r w:rsidRPr="007B3020">
              <w:rPr>
                <w:sz w:val="18"/>
                <w:szCs w:val="18"/>
              </w:rPr>
              <w:t>enzamido-4-hydroxy-3-[[4-[(4-sulphophenyl)azo]phenyl]azo]naphthalene-2-sulphonic acid</w:t>
            </w:r>
          </w:p>
        </w:tc>
        <w:tc>
          <w:tcPr>
            <w:tcW w:w="1701" w:type="dxa"/>
            <w:vAlign w:val="center"/>
          </w:tcPr>
          <w:p w14:paraId="2928C710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14:paraId="1C696BB5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1355CFC1" w14:textId="77777777" w:rsidR="00516D6E" w:rsidRDefault="00516D6E" w:rsidP="000A258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5E0FE026" w14:textId="77777777" w:rsidR="00516D6E" w:rsidRPr="00417E73" w:rsidRDefault="00516D6E" w:rsidP="000A258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789824F2" w14:textId="77777777" w:rsidTr="00283EF7">
        <w:tc>
          <w:tcPr>
            <w:tcW w:w="1277" w:type="dxa"/>
            <w:vAlign w:val="center"/>
          </w:tcPr>
          <w:p w14:paraId="18B14232" w14:textId="79E9BFB7" w:rsidR="00516D6E" w:rsidRPr="007B3020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28804-47-9</w:t>
            </w:r>
          </w:p>
        </w:tc>
        <w:tc>
          <w:tcPr>
            <w:tcW w:w="6662" w:type="dxa"/>
            <w:vAlign w:val="center"/>
          </w:tcPr>
          <w:p w14:paraId="682C3EA4" w14:textId="19D843E4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7B3020">
              <w:rPr>
                <w:sz w:val="18"/>
                <w:szCs w:val="18"/>
              </w:rPr>
              <w:t>Methyl toluenesulphonate</w:t>
            </w:r>
          </w:p>
        </w:tc>
        <w:tc>
          <w:tcPr>
            <w:tcW w:w="1701" w:type="dxa"/>
            <w:vAlign w:val="center"/>
          </w:tcPr>
          <w:p w14:paraId="3F1242C4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421" w:type="dxa"/>
            <w:vAlign w:val="center"/>
          </w:tcPr>
          <w:p w14:paraId="3A981CDD" w14:textId="77777777" w:rsidR="00516D6E" w:rsidRPr="00417E73" w:rsidRDefault="00516D6E" w:rsidP="000A258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paper and board</w:t>
            </w:r>
          </w:p>
        </w:tc>
      </w:tr>
      <w:tr w:rsidR="00516D6E" w14:paraId="787480B1" w14:textId="77777777" w:rsidTr="00283EF7">
        <w:tc>
          <w:tcPr>
            <w:tcW w:w="1277" w:type="dxa"/>
            <w:vAlign w:val="center"/>
          </w:tcPr>
          <w:p w14:paraId="6FD3224F" w14:textId="176CD9A7" w:rsidR="00516D6E" w:rsidRPr="00754F54" w:rsidRDefault="00516D6E" w:rsidP="009F4BB3">
            <w:pPr>
              <w:spacing w:line="480" w:lineRule="auto"/>
              <w:rPr>
                <w:sz w:val="18"/>
                <w:szCs w:val="18"/>
                <w:lang w:val="it-IT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31482-56-1</w:t>
            </w:r>
          </w:p>
        </w:tc>
        <w:tc>
          <w:tcPr>
            <w:tcW w:w="6662" w:type="dxa"/>
            <w:vAlign w:val="center"/>
          </w:tcPr>
          <w:p w14:paraId="7FCE4FDF" w14:textId="63452CC3" w:rsidR="00516D6E" w:rsidRPr="00754F54" w:rsidRDefault="00516D6E" w:rsidP="009F4BB3">
            <w:pPr>
              <w:spacing w:line="480" w:lineRule="auto"/>
              <w:rPr>
                <w:sz w:val="18"/>
                <w:szCs w:val="18"/>
                <w:lang w:val="it-IT"/>
              </w:rPr>
            </w:pPr>
            <w:r w:rsidRPr="00754F54">
              <w:rPr>
                <w:sz w:val="18"/>
                <w:szCs w:val="18"/>
                <w:lang w:val="it-IT"/>
              </w:rPr>
              <w:t>3-[Ethyl[4-[(4-nitrophenyl)azo]phenyl]amino]propiononitrile**</w:t>
            </w:r>
          </w:p>
        </w:tc>
        <w:tc>
          <w:tcPr>
            <w:tcW w:w="1701" w:type="dxa"/>
            <w:vAlign w:val="center"/>
          </w:tcPr>
          <w:p w14:paraId="78094266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421" w:type="dxa"/>
            <w:vAlign w:val="center"/>
          </w:tcPr>
          <w:p w14:paraId="164537A5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  <w:tr w:rsidR="00516D6E" w14:paraId="298E8228" w14:textId="77777777" w:rsidTr="00283EF7">
        <w:tc>
          <w:tcPr>
            <w:tcW w:w="1277" w:type="dxa"/>
            <w:vAlign w:val="center"/>
          </w:tcPr>
          <w:p w14:paraId="2A43E8D9" w14:textId="45E68D0C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36215-07-3</w:t>
            </w:r>
          </w:p>
        </w:tc>
        <w:tc>
          <w:tcPr>
            <w:tcW w:w="6662" w:type="dxa"/>
            <w:vAlign w:val="center"/>
          </w:tcPr>
          <w:p w14:paraId="2879F8A5" w14:textId="11D81901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1-C</w:t>
            </w:r>
            <w:r w:rsidRPr="007B3020">
              <w:rPr>
                <w:sz w:val="18"/>
                <w:szCs w:val="18"/>
              </w:rPr>
              <w:t>hloro-3-methoxypropane</w:t>
            </w:r>
          </w:p>
        </w:tc>
        <w:tc>
          <w:tcPr>
            <w:tcW w:w="1701" w:type="dxa"/>
            <w:vAlign w:val="center"/>
          </w:tcPr>
          <w:p w14:paraId="62D31F20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6841</w:t>
            </w:r>
          </w:p>
        </w:tc>
        <w:tc>
          <w:tcPr>
            <w:tcW w:w="5421" w:type="dxa"/>
            <w:vAlign w:val="center"/>
          </w:tcPr>
          <w:p w14:paraId="585E0263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626EDB46" w14:textId="77777777" w:rsidTr="00283EF7">
        <w:tc>
          <w:tcPr>
            <w:tcW w:w="1277" w:type="dxa"/>
            <w:vAlign w:val="center"/>
          </w:tcPr>
          <w:p w14:paraId="38BDD3BC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36968-27-1</w:t>
            </w:r>
          </w:p>
          <w:p w14:paraId="1BE7B76F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5B240B7A" w14:textId="0A488A21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4-[[4-(A</w:t>
            </w:r>
            <w:r w:rsidRPr="007B3020">
              <w:rPr>
                <w:sz w:val="18"/>
                <w:szCs w:val="18"/>
              </w:rPr>
              <w:t>minocarbonyl)phenyl]azo]-3-hydroxy-N-(2-methoxyphenyl)naphthalene-2-carboxamide</w:t>
            </w:r>
          </w:p>
        </w:tc>
        <w:tc>
          <w:tcPr>
            <w:tcW w:w="1701" w:type="dxa"/>
            <w:vAlign w:val="center"/>
          </w:tcPr>
          <w:p w14:paraId="351BFCCD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</w:t>
            </w:r>
          </w:p>
          <w:p w14:paraId="0DBE2150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5210AF8F" w14:textId="77777777" w:rsidR="00516D6E" w:rsidRDefault="00516D6E" w:rsidP="000A258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652BF550" w14:textId="77777777" w:rsidR="00516D6E" w:rsidRPr="00417E73" w:rsidRDefault="00516D6E" w:rsidP="000A258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04861C86" w14:textId="77777777" w:rsidTr="00283EF7">
        <w:tc>
          <w:tcPr>
            <w:tcW w:w="1277" w:type="dxa"/>
            <w:vAlign w:val="center"/>
          </w:tcPr>
          <w:p w14:paraId="52FF7FB4" w14:textId="6570ACFC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39817-09-9</w:t>
            </w:r>
          </w:p>
        </w:tc>
        <w:tc>
          <w:tcPr>
            <w:tcW w:w="6662" w:type="dxa"/>
            <w:vAlign w:val="center"/>
          </w:tcPr>
          <w:p w14:paraId="51DEE4C5" w14:textId="2374CD95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2,2'-[M</w:t>
            </w:r>
            <w:r w:rsidRPr="007B3020">
              <w:rPr>
                <w:sz w:val="18"/>
                <w:szCs w:val="18"/>
              </w:rPr>
              <w:t>ethylenebis(phenyleneoxymethylene)]bisoxirane</w:t>
            </w:r>
          </w:p>
        </w:tc>
        <w:tc>
          <w:tcPr>
            <w:tcW w:w="1701" w:type="dxa"/>
            <w:vAlign w:val="center"/>
          </w:tcPr>
          <w:p w14:paraId="36D3043D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</w:t>
            </w:r>
          </w:p>
        </w:tc>
        <w:tc>
          <w:tcPr>
            <w:tcW w:w="5421" w:type="dxa"/>
            <w:vAlign w:val="center"/>
          </w:tcPr>
          <w:p w14:paraId="58565EF7" w14:textId="77777777" w:rsidR="00516D6E" w:rsidRPr="00417E73" w:rsidRDefault="00516D6E" w:rsidP="000A258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Monomer in printing ink</w:t>
            </w:r>
          </w:p>
        </w:tc>
      </w:tr>
      <w:tr w:rsidR="00516D6E" w14:paraId="244D8304" w14:textId="77777777" w:rsidTr="00283EF7">
        <w:tc>
          <w:tcPr>
            <w:tcW w:w="1277" w:type="dxa"/>
            <w:vAlign w:val="center"/>
          </w:tcPr>
          <w:p w14:paraId="71BAFEE2" w14:textId="2EA929A6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50593-68-5</w:t>
            </w:r>
          </w:p>
        </w:tc>
        <w:tc>
          <w:tcPr>
            <w:tcW w:w="6662" w:type="dxa"/>
            <w:vAlign w:val="center"/>
          </w:tcPr>
          <w:p w14:paraId="2800FEA6" w14:textId="2ED30D89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3-C</w:t>
            </w:r>
            <w:r w:rsidRPr="007B3020">
              <w:rPr>
                <w:sz w:val="18"/>
                <w:szCs w:val="18"/>
              </w:rPr>
              <w:t>hloro-6-nitro-1H-indazole</w:t>
            </w:r>
          </w:p>
        </w:tc>
        <w:tc>
          <w:tcPr>
            <w:tcW w:w="1701" w:type="dxa"/>
            <w:vAlign w:val="center"/>
          </w:tcPr>
          <w:p w14:paraId="332FB0F9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</w:t>
            </w:r>
          </w:p>
        </w:tc>
        <w:tc>
          <w:tcPr>
            <w:tcW w:w="5421" w:type="dxa"/>
            <w:vAlign w:val="center"/>
          </w:tcPr>
          <w:p w14:paraId="47A51CC5" w14:textId="77777777" w:rsidR="00516D6E" w:rsidRPr="00417E73" w:rsidRDefault="00516D6E" w:rsidP="00D23728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67791ED6" w14:textId="77777777" w:rsidTr="00283EF7">
        <w:tc>
          <w:tcPr>
            <w:tcW w:w="1277" w:type="dxa"/>
            <w:vAlign w:val="center"/>
          </w:tcPr>
          <w:p w14:paraId="490091D0" w14:textId="2AAF8093" w:rsidR="00516D6E" w:rsidRPr="00D23728" w:rsidRDefault="00516D6E" w:rsidP="00D23728">
            <w:pPr>
              <w:spacing w:line="480" w:lineRule="auto"/>
              <w:rPr>
                <w:sz w:val="18"/>
                <w:szCs w:val="18"/>
                <w:lang w:val="fr-FR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52373-93-0</w:t>
            </w:r>
          </w:p>
        </w:tc>
        <w:tc>
          <w:tcPr>
            <w:tcW w:w="6662" w:type="dxa"/>
            <w:vAlign w:val="center"/>
          </w:tcPr>
          <w:p w14:paraId="4CA7F4F0" w14:textId="2DD11432" w:rsidR="00516D6E" w:rsidRPr="00D23728" w:rsidRDefault="00516D6E" w:rsidP="00D23728">
            <w:pPr>
              <w:spacing w:line="480" w:lineRule="auto"/>
              <w:rPr>
                <w:sz w:val="18"/>
                <w:szCs w:val="18"/>
                <w:lang w:val="fr-FR"/>
              </w:rPr>
            </w:pPr>
            <w:r w:rsidRPr="00D23728">
              <w:rPr>
                <w:sz w:val="18"/>
                <w:szCs w:val="18"/>
                <w:lang w:val="fr-FR"/>
              </w:rPr>
              <w:t>1-</w:t>
            </w:r>
            <w:r>
              <w:rPr>
                <w:sz w:val="18"/>
                <w:szCs w:val="18"/>
                <w:lang w:val="fr-FR"/>
              </w:rPr>
              <w:t>A</w:t>
            </w:r>
            <w:r w:rsidRPr="00D23728">
              <w:rPr>
                <w:sz w:val="18"/>
                <w:szCs w:val="18"/>
                <w:lang w:val="fr-FR"/>
              </w:rPr>
              <w:t>mino-4-(ethylamino)-9,10-dihydro-9,10-dioxoanthracene-2,3-dicarbonitrile</w:t>
            </w:r>
          </w:p>
        </w:tc>
        <w:tc>
          <w:tcPr>
            <w:tcW w:w="1701" w:type="dxa"/>
            <w:vAlign w:val="center"/>
          </w:tcPr>
          <w:p w14:paraId="75EF1DEB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4125</w:t>
            </w:r>
          </w:p>
        </w:tc>
        <w:tc>
          <w:tcPr>
            <w:tcW w:w="5421" w:type="dxa"/>
            <w:vAlign w:val="center"/>
          </w:tcPr>
          <w:p w14:paraId="715BBD46" w14:textId="77777777" w:rsidR="00516D6E" w:rsidRPr="00417E73" w:rsidRDefault="00516D6E" w:rsidP="000A258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22155A15" w14:textId="77777777" w:rsidTr="00283EF7">
        <w:tc>
          <w:tcPr>
            <w:tcW w:w="1277" w:type="dxa"/>
            <w:vAlign w:val="center"/>
          </w:tcPr>
          <w:p w14:paraId="6ED28587" w14:textId="29E454E1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56396-10-2</w:t>
            </w:r>
          </w:p>
        </w:tc>
        <w:tc>
          <w:tcPr>
            <w:tcW w:w="6662" w:type="dxa"/>
            <w:vAlign w:val="center"/>
          </w:tcPr>
          <w:p w14:paraId="2CA0F40D" w14:textId="35E6B5A0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4-[[5-(A</w:t>
            </w:r>
            <w:r w:rsidRPr="00D23728">
              <w:rPr>
                <w:sz w:val="18"/>
                <w:szCs w:val="18"/>
              </w:rPr>
              <w:t>nilino)carbonyl-2-methoxyphenyl]azo]-3-hydroxynaphthalene-2-carboxamide</w:t>
            </w:r>
          </w:p>
        </w:tc>
        <w:tc>
          <w:tcPr>
            <w:tcW w:w="1701" w:type="dxa"/>
            <w:vAlign w:val="center"/>
          </w:tcPr>
          <w:p w14:paraId="08856192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421" w:type="dxa"/>
            <w:vAlign w:val="center"/>
          </w:tcPr>
          <w:p w14:paraId="7FFCD8C7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  <w:tr w:rsidR="00516D6E" w14:paraId="389C00B0" w14:textId="77777777" w:rsidTr="00283EF7">
        <w:tc>
          <w:tcPr>
            <w:tcW w:w="1277" w:type="dxa"/>
            <w:vAlign w:val="center"/>
          </w:tcPr>
          <w:p w14:paraId="37990E89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59487-23-9</w:t>
            </w:r>
          </w:p>
          <w:p w14:paraId="0BC5A856" w14:textId="77777777" w:rsidR="00516D6E" w:rsidRPr="002E10E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282DA0FC" w14:textId="1D59740C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2E10E3">
              <w:rPr>
                <w:sz w:val="18"/>
                <w:szCs w:val="18"/>
              </w:rPr>
              <w:t>4-[[5-[[[4-(aminocarbonyl)phenyl]amino]carbonyl]-2-methoxyphenyl]azo]-N-(5-chloro-2,4-dimethoxyphenyl)-3-hydroxynaphthalene-2-carboxamide</w:t>
            </w:r>
          </w:p>
        </w:tc>
        <w:tc>
          <w:tcPr>
            <w:tcW w:w="1701" w:type="dxa"/>
            <w:vAlign w:val="center"/>
          </w:tcPr>
          <w:p w14:paraId="620A8669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2814</w:t>
            </w:r>
          </w:p>
          <w:p w14:paraId="48D3445C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6BF24B92" w14:textId="77777777" w:rsidR="00516D6E" w:rsidRDefault="00516D6E" w:rsidP="000A258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494A0B30" w14:textId="77777777" w:rsidR="00516D6E" w:rsidRPr="00417E73" w:rsidRDefault="00516D6E" w:rsidP="000A258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31618D29" w14:textId="77777777" w:rsidTr="00283EF7">
        <w:tc>
          <w:tcPr>
            <w:tcW w:w="1277" w:type="dxa"/>
            <w:vAlign w:val="center"/>
          </w:tcPr>
          <w:p w14:paraId="05CF6C99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61847-48-1</w:t>
            </w:r>
          </w:p>
          <w:p w14:paraId="4121FF56" w14:textId="77777777" w:rsidR="00516D6E" w:rsidRPr="002E10E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53D32805" w14:textId="38D792A8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2E10E3">
              <w:rPr>
                <w:sz w:val="18"/>
                <w:szCs w:val="18"/>
              </w:rPr>
              <w:t>Methyl 4-[[(2,5-dichlorophenyl)amino]carbonyl]-2-[[2-hydroxy-3-[[(2-methoxyphenyl)amino]carbonyl]-1-naphthyl]azo]benzoate</w:t>
            </w:r>
          </w:p>
        </w:tc>
        <w:tc>
          <w:tcPr>
            <w:tcW w:w="1701" w:type="dxa"/>
            <w:vAlign w:val="center"/>
          </w:tcPr>
          <w:p w14:paraId="63CF946E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2815</w:t>
            </w:r>
          </w:p>
          <w:p w14:paraId="2D7E28C9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5BEF8547" w14:textId="77777777" w:rsidR="00516D6E" w:rsidRDefault="00516D6E" w:rsidP="002E10E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0ED8E1F8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34AF0026" w14:textId="77777777" w:rsidTr="00283EF7">
        <w:tc>
          <w:tcPr>
            <w:tcW w:w="1277" w:type="dxa"/>
            <w:vAlign w:val="center"/>
          </w:tcPr>
          <w:p w14:paraId="450CA48C" w14:textId="0185E05C" w:rsidR="00516D6E" w:rsidRPr="002E10E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61951-98-2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6662" w:type="dxa"/>
            <w:vAlign w:val="center"/>
          </w:tcPr>
          <w:p w14:paraId="06711BDD" w14:textId="504D6AF2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2E10E3">
              <w:rPr>
                <w:sz w:val="18"/>
                <w:szCs w:val="18"/>
              </w:rPr>
              <w:lastRenderedPageBreak/>
              <w:t>N-(2,3-dihydro-2-oxo-1H-benzimidazol-5-yl)-3-hydroxy-4-[[5-methoxy-2-methyl-4-</w:t>
            </w:r>
            <w:r w:rsidRPr="002E10E3">
              <w:rPr>
                <w:sz w:val="18"/>
                <w:szCs w:val="18"/>
              </w:rPr>
              <w:lastRenderedPageBreak/>
              <w:t>[(methylamino)sulphonyl]phenyl]azo]naphthalene-2-carboxamide</w:t>
            </w:r>
          </w:p>
        </w:tc>
        <w:tc>
          <w:tcPr>
            <w:tcW w:w="1701" w:type="dxa"/>
            <w:vAlign w:val="center"/>
          </w:tcPr>
          <w:p w14:paraId="7DD13C27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/</w:t>
            </w:r>
          </w:p>
          <w:p w14:paraId="5EFDA6D7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43F67DEA" w14:textId="77777777" w:rsidR="00516D6E" w:rsidRDefault="00516D6E" w:rsidP="002E10E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Dye and pigment (with aromatic azo structure) in printing ink</w:t>
            </w:r>
          </w:p>
          <w:p w14:paraId="624964DB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783FEB92" w14:textId="77777777" w:rsidTr="00283EF7">
        <w:tc>
          <w:tcPr>
            <w:tcW w:w="1277" w:type="dxa"/>
            <w:vAlign w:val="center"/>
          </w:tcPr>
          <w:p w14:paraId="6648F169" w14:textId="07FCD46F" w:rsidR="00516D6E" w:rsidRDefault="00516D6E" w:rsidP="009F4BB3">
            <w:pPr>
              <w:spacing w:line="480" w:lineRule="auto"/>
              <w:rPr>
                <w:sz w:val="18"/>
                <w:szCs w:val="18"/>
                <w:lang w:val="fr-FR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62570-50-7</w:t>
            </w:r>
          </w:p>
        </w:tc>
        <w:tc>
          <w:tcPr>
            <w:tcW w:w="6662" w:type="dxa"/>
            <w:vAlign w:val="center"/>
          </w:tcPr>
          <w:p w14:paraId="38A57C6F" w14:textId="11117883" w:rsidR="00516D6E" w:rsidRPr="006E6BD6" w:rsidRDefault="00516D6E" w:rsidP="009F4BB3">
            <w:pPr>
              <w:spacing w:line="480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1-A</w:t>
            </w:r>
            <w:r w:rsidRPr="006E6BD6">
              <w:rPr>
                <w:sz w:val="18"/>
                <w:szCs w:val="18"/>
                <w:lang w:val="fr-FR"/>
              </w:rPr>
              <w:t>mino-4-(ethylamino)-9,10-dihydro-9,10-dioxoanthracene-2-carbonitrile</w:t>
            </w:r>
          </w:p>
        </w:tc>
        <w:tc>
          <w:tcPr>
            <w:tcW w:w="1701" w:type="dxa"/>
            <w:vAlign w:val="center"/>
          </w:tcPr>
          <w:p w14:paraId="7F2D0A9E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</w:t>
            </w:r>
          </w:p>
        </w:tc>
        <w:tc>
          <w:tcPr>
            <w:tcW w:w="5421" w:type="dxa"/>
            <w:vAlign w:val="center"/>
          </w:tcPr>
          <w:p w14:paraId="7DFD44A8" w14:textId="77777777" w:rsidR="00516D6E" w:rsidRPr="00417E73" w:rsidRDefault="00516D6E" w:rsidP="006E6BD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in printing ink</w:t>
            </w:r>
          </w:p>
        </w:tc>
      </w:tr>
      <w:tr w:rsidR="00516D6E" w14:paraId="6E593834" w14:textId="77777777" w:rsidTr="00283EF7">
        <w:tc>
          <w:tcPr>
            <w:tcW w:w="1277" w:type="dxa"/>
            <w:vAlign w:val="center"/>
          </w:tcPr>
          <w:p w14:paraId="096E63D8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67990-05-0</w:t>
            </w:r>
          </w:p>
          <w:p w14:paraId="2CBF39E2" w14:textId="77777777" w:rsidR="00516D6E" w:rsidRPr="00FB3F5B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473D3AB2" w14:textId="17622F59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FB3F5B">
              <w:rPr>
                <w:sz w:val="18"/>
                <w:szCs w:val="18"/>
              </w:rPr>
              <w:t>N-(5-chloro-2-methoxyphenyl)-3-hydroxy-4-[[2-methoxy-5-[(phenylamino)carbonyl]phenyl]azo]naphthalene-2-carboxamide</w:t>
            </w:r>
          </w:p>
        </w:tc>
        <w:tc>
          <w:tcPr>
            <w:tcW w:w="1701" w:type="dxa"/>
            <w:vAlign w:val="center"/>
          </w:tcPr>
          <w:p w14:paraId="69E127B2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  <w:p w14:paraId="7DBCC235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4D7376B2" w14:textId="77777777" w:rsidR="00516D6E" w:rsidRDefault="00516D6E" w:rsidP="00FB3F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619D65DA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7FDF6347" w14:textId="77777777" w:rsidTr="00283EF7">
        <w:tc>
          <w:tcPr>
            <w:tcW w:w="1277" w:type="dxa"/>
            <w:vAlign w:val="center"/>
          </w:tcPr>
          <w:p w14:paraId="6AF91950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68227-78-1</w:t>
            </w:r>
          </w:p>
          <w:p w14:paraId="3C507BFB" w14:textId="77777777" w:rsidR="00516D6E" w:rsidRPr="00FB3F5B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6FCE2530" w14:textId="3F1C50B1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FB3F5B">
              <w:rPr>
                <w:sz w:val="18"/>
                <w:szCs w:val="18"/>
              </w:rPr>
              <w:t>N-(5-chloro-2-methylphenyl)-3-hydroxy-4-[[2-methoxy-5-[(phenylamino)carbonyl]phenyl]azo]naphthalene-2-carboxamide</w:t>
            </w:r>
          </w:p>
        </w:tc>
        <w:tc>
          <w:tcPr>
            <w:tcW w:w="1701" w:type="dxa"/>
            <w:vAlign w:val="center"/>
          </w:tcPr>
          <w:p w14:paraId="6808BA81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</w:t>
            </w:r>
          </w:p>
          <w:p w14:paraId="31E7E5B8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28648B2D" w14:textId="77777777" w:rsidR="00516D6E" w:rsidRDefault="00516D6E" w:rsidP="00FB3F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343C1431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2D93C809" w14:textId="77777777" w:rsidTr="00283EF7">
        <w:tc>
          <w:tcPr>
            <w:tcW w:w="1277" w:type="dxa"/>
            <w:vAlign w:val="center"/>
          </w:tcPr>
          <w:p w14:paraId="714D1153" w14:textId="77777777" w:rsidR="00516D6E" w:rsidRDefault="00516D6E" w:rsidP="00251EAB">
            <w:pPr>
              <w:spacing w:line="48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68516-75-6</w:t>
            </w:r>
          </w:p>
          <w:p w14:paraId="021887DE" w14:textId="77777777" w:rsidR="00516D6E" w:rsidRPr="00FB3F5B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37F0A5F0" w14:textId="76B11250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FB3F5B">
              <w:rPr>
                <w:sz w:val="18"/>
                <w:szCs w:val="18"/>
              </w:rPr>
              <w:t>N,N'-naphthalene-1,5-diylbis[4-[(2,3-dichlorophenyl)azo]-3-hydroxynaphthalene-2-carboxamide]</w:t>
            </w:r>
          </w:p>
        </w:tc>
        <w:tc>
          <w:tcPr>
            <w:tcW w:w="1701" w:type="dxa"/>
            <w:vAlign w:val="center"/>
          </w:tcPr>
          <w:p w14:paraId="6AF0A213" w14:textId="77777777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14:paraId="2C8695F6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21" w:type="dxa"/>
            <w:vAlign w:val="center"/>
          </w:tcPr>
          <w:p w14:paraId="4233B6F0" w14:textId="77777777" w:rsidR="00516D6E" w:rsidRDefault="00516D6E" w:rsidP="00FB3F5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  <w:p w14:paraId="54FDF458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16D6E" w14:paraId="30395AE6" w14:textId="77777777" w:rsidTr="00283EF7">
        <w:tc>
          <w:tcPr>
            <w:tcW w:w="1277" w:type="dxa"/>
            <w:vAlign w:val="center"/>
          </w:tcPr>
          <w:p w14:paraId="48E62443" w14:textId="349E9DF5" w:rsidR="00516D6E" w:rsidRPr="00FB3F5B" w:rsidRDefault="00516D6E" w:rsidP="00FB3F5B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68818-86-0</w:t>
            </w:r>
          </w:p>
        </w:tc>
        <w:tc>
          <w:tcPr>
            <w:tcW w:w="6662" w:type="dxa"/>
            <w:vAlign w:val="center"/>
          </w:tcPr>
          <w:p w14:paraId="196DC29C" w14:textId="02210C6B" w:rsidR="00516D6E" w:rsidRPr="00417E73" w:rsidRDefault="00516D6E" w:rsidP="00FB3F5B">
            <w:pPr>
              <w:spacing w:line="480" w:lineRule="auto"/>
              <w:rPr>
                <w:sz w:val="18"/>
                <w:szCs w:val="18"/>
              </w:rPr>
            </w:pPr>
            <w:r w:rsidRPr="00FB3F5B">
              <w:rPr>
                <w:sz w:val="18"/>
                <w:szCs w:val="18"/>
              </w:rPr>
              <w:t>9,10-</w:t>
            </w:r>
            <w:r>
              <w:rPr>
                <w:sz w:val="18"/>
                <w:szCs w:val="18"/>
              </w:rPr>
              <w:t>D</w:t>
            </w:r>
            <w:r w:rsidRPr="00FB3F5B">
              <w:rPr>
                <w:sz w:val="18"/>
                <w:szCs w:val="18"/>
              </w:rPr>
              <w:t>iethoxyanthracene</w:t>
            </w:r>
          </w:p>
        </w:tc>
        <w:tc>
          <w:tcPr>
            <w:tcW w:w="1701" w:type="dxa"/>
            <w:vAlign w:val="center"/>
          </w:tcPr>
          <w:p w14:paraId="11CBFF9D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</w:t>
            </w:r>
          </w:p>
        </w:tc>
        <w:tc>
          <w:tcPr>
            <w:tcW w:w="5421" w:type="dxa"/>
            <w:vAlign w:val="center"/>
          </w:tcPr>
          <w:p w14:paraId="5A19F0D7" w14:textId="77777777" w:rsidR="00516D6E" w:rsidRPr="00417E73" w:rsidRDefault="00516D6E" w:rsidP="000A258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Additive in printing ink</w:t>
            </w:r>
          </w:p>
        </w:tc>
      </w:tr>
      <w:tr w:rsidR="00516D6E" w14:paraId="004CC1E5" w14:textId="77777777" w:rsidTr="00283EF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B0C6EA8" w14:textId="441E7CC5" w:rsidR="00516D6E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 w:rsidRPr="009F4BB3">
              <w:rPr>
                <w:rFonts w:ascii="Calibri" w:hAnsi="Calibri"/>
                <w:color w:val="000000"/>
                <w:sz w:val="18"/>
                <w:szCs w:val="18"/>
              </w:rPr>
              <w:t>74336-59-7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360E786" w14:textId="400A0271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3-[(4-C</w:t>
            </w:r>
            <w:r w:rsidRPr="00FB3F5B">
              <w:rPr>
                <w:sz w:val="18"/>
                <w:szCs w:val="18"/>
              </w:rPr>
              <w:t>hloro-2-nitrophenyl)azo]-2-methylpyrazolo[5,1-b]quinazolin-9(1H)-one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8AE8D8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14:paraId="0F13A926" w14:textId="77777777" w:rsidR="00516D6E" w:rsidRPr="00417E73" w:rsidRDefault="00516D6E" w:rsidP="009F4BB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 and pigment (with aromatic azo structure) in printing ink</w:t>
            </w:r>
          </w:p>
        </w:tc>
      </w:tr>
    </w:tbl>
    <w:p w14:paraId="1BB70C51" w14:textId="77777777" w:rsidR="00D47C93" w:rsidRDefault="00D47C93" w:rsidP="00B65EAD">
      <w:pPr>
        <w:spacing w:after="0" w:line="480" w:lineRule="auto"/>
        <w:jc w:val="both"/>
        <w:sectPr w:rsidR="00D47C93" w:rsidSect="00586FD6">
          <w:footerReference w:type="default" r:id="rId22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86033A7" w14:textId="17568861" w:rsidR="00ED6649" w:rsidRDefault="00B82401" w:rsidP="00B65EAD">
      <w:pPr>
        <w:spacing w:after="0" w:line="480" w:lineRule="auto"/>
        <w:jc w:val="both"/>
      </w:pPr>
      <w:r>
        <w:lastRenderedPageBreak/>
        <w:t>The 106 compounds positive in the 4 (Q)SAR tools represent a</w:t>
      </w:r>
      <w:r w:rsidR="00691435">
        <w:t xml:space="preserve"> relatively</w:t>
      </w:r>
      <w:r>
        <w:t xml:space="preserve"> large number of substances </w:t>
      </w:r>
      <w:r w:rsidR="00426115">
        <w:t>requiring</w:t>
      </w:r>
      <w:r>
        <w:t xml:space="preserve"> experimental </w:t>
      </w:r>
      <w:r w:rsidR="00F75243">
        <w:t xml:space="preserve">(toxicological and/or migration) </w:t>
      </w:r>
      <w:r>
        <w:t xml:space="preserve">data. One option to establish a refined priority ranking </w:t>
      </w:r>
      <w:r w:rsidR="00FE07C6">
        <w:t>lies in the</w:t>
      </w:r>
      <w:r w:rsidR="0082003E">
        <w:t xml:space="preserve"> </w:t>
      </w:r>
      <w:r w:rsidR="00FE07C6">
        <w:t>investigation of</w:t>
      </w:r>
      <w:r w:rsidR="0082003E">
        <w:t xml:space="preserve"> the actual use of these substances.</w:t>
      </w:r>
      <w:r w:rsidR="00F75243">
        <w:t xml:space="preserve"> Although FCM manufacturing companies</w:t>
      </w:r>
      <w:r w:rsidR="0005712E">
        <w:t xml:space="preserve"> in general</w:t>
      </w:r>
      <w:r w:rsidR="00F75243">
        <w:t xml:space="preserve"> do not wish to </w:t>
      </w:r>
      <w:r w:rsidR="00757966">
        <w:t>disseminate</w:t>
      </w:r>
      <w:r w:rsidR="00F75243">
        <w:t xml:space="preserve"> detailed information on this matter, a</w:t>
      </w:r>
      <w:r w:rsidR="0082003E">
        <w:t xml:space="preserve"> first indication </w:t>
      </w:r>
      <w:r w:rsidR="00EF23DD">
        <w:t>can</w:t>
      </w:r>
      <w:r w:rsidR="00F75243">
        <w:t xml:space="preserve"> already</w:t>
      </w:r>
      <w:r w:rsidR="00EF23DD">
        <w:t xml:space="preserve"> be found </w:t>
      </w:r>
      <w:r w:rsidR="00127816">
        <w:t>through consultation of</w:t>
      </w:r>
      <w:r w:rsidR="00EF23DD">
        <w:t xml:space="preserve"> the </w:t>
      </w:r>
      <w:r w:rsidR="00ED6649">
        <w:t>Flavours, Additives and food Contact materials Exposure Task (</w:t>
      </w:r>
      <w:r w:rsidR="00EF23DD">
        <w:t>FACET</w:t>
      </w:r>
      <w:r w:rsidR="00ED6649">
        <w:t>)</w:t>
      </w:r>
      <w:r w:rsidR="00EF23DD">
        <w:t xml:space="preserve"> tool</w:t>
      </w:r>
      <w:r w:rsidR="007F0C6B">
        <w:t xml:space="preserve"> (Hearty et al., 2011)</w:t>
      </w:r>
      <w:r w:rsidR="00ED6649">
        <w:t xml:space="preserve">. </w:t>
      </w:r>
      <w:r w:rsidR="00F75243">
        <w:t>In the</w:t>
      </w:r>
      <w:r w:rsidR="00ED6649">
        <w:t xml:space="preserve"> </w:t>
      </w:r>
      <w:r w:rsidR="00ED0F38">
        <w:t>EU</w:t>
      </w:r>
      <w:r w:rsidR="00ED6649">
        <w:t>-funded FACET project</w:t>
      </w:r>
      <w:r w:rsidR="00F75243">
        <w:t>,</w:t>
      </w:r>
      <w:r w:rsidR="00127816">
        <w:t xml:space="preserve"> a probabilistic modelling tool was developed to estima</w:t>
      </w:r>
      <w:r w:rsidR="00426115">
        <w:t>te consumer exposure to</w:t>
      </w:r>
      <w:r w:rsidR="00127816">
        <w:t xml:space="preserve"> food contact substances</w:t>
      </w:r>
      <w:r w:rsidR="00115A93">
        <w:t xml:space="preserve"> (Oldring et al., 2013)</w:t>
      </w:r>
      <w:r w:rsidR="00F75243">
        <w:t xml:space="preserve">. Information on substance application and relative use was obtained from </w:t>
      </w:r>
      <w:r w:rsidR="0091687C">
        <w:t xml:space="preserve">a FACET Industry Group </w:t>
      </w:r>
      <w:r w:rsidR="00F75243">
        <w:t xml:space="preserve">(FIG) </w:t>
      </w:r>
      <w:r w:rsidR="0091687C">
        <w:t>consisting of 13 European FCM trade associations representi</w:t>
      </w:r>
      <w:r w:rsidR="00B37117">
        <w:t>ng among</w:t>
      </w:r>
      <w:r w:rsidR="0091687C">
        <w:t xml:space="preserve"> others the printing ink and paper(board) industry</w:t>
      </w:r>
      <w:r w:rsidR="00F75243">
        <w:t xml:space="preserve"> (University Coll</w:t>
      </w:r>
      <w:r w:rsidR="000062CA">
        <w:t>ege Dublin, 2012)</w:t>
      </w:r>
      <w:r w:rsidR="00C41B62">
        <w:t xml:space="preserve">. </w:t>
      </w:r>
      <w:r w:rsidR="009B36BF">
        <w:t>As a result, s</w:t>
      </w:r>
      <w:r w:rsidR="00115A93">
        <w:t>ubstances with a FACET number indicate substance</w:t>
      </w:r>
      <w:r w:rsidR="009B36BF">
        <w:t>s for which the FIG has confirmed</w:t>
      </w:r>
      <w:r w:rsidR="00115A93">
        <w:t xml:space="preserve"> </w:t>
      </w:r>
      <w:r w:rsidR="009B36BF">
        <w:t>current usage</w:t>
      </w:r>
      <w:r w:rsidR="00115A93">
        <w:t>.</w:t>
      </w:r>
      <w:r w:rsidR="009B36BF">
        <w:t xml:space="preserve"> </w:t>
      </w:r>
      <w:r w:rsidR="00D47C93">
        <w:t>Forty-four</w:t>
      </w:r>
      <w:r w:rsidR="00956A2F">
        <w:t xml:space="preserve"> </w:t>
      </w:r>
      <w:r w:rsidR="007F1251">
        <w:t>training set</w:t>
      </w:r>
      <w:r w:rsidR="00956A2F">
        <w:t xml:space="preserve"> Ames positives and 42 positives without experimental data, </w:t>
      </w:r>
      <w:r w:rsidR="00A6343D">
        <w:t>have a FACET number</w:t>
      </w:r>
      <w:r w:rsidR="009B36BF">
        <w:t xml:space="preserve">, suggesting their priority is higher compared to the </w:t>
      </w:r>
      <w:r w:rsidR="00D47C93">
        <w:t>20</w:t>
      </w:r>
      <w:r w:rsidR="009B36BF">
        <w:t xml:space="preserve"> substances without a FACET number.</w:t>
      </w:r>
      <w:r w:rsidR="00115A93">
        <w:t xml:space="preserve"> </w:t>
      </w:r>
      <w:r w:rsidR="00061446">
        <w:t>On</w:t>
      </w:r>
      <w:r w:rsidR="00F75243">
        <w:t xml:space="preserve">e </w:t>
      </w:r>
      <w:r w:rsidR="004E46DD">
        <w:t>weakness</w:t>
      </w:r>
      <w:r w:rsidR="00F75243">
        <w:t xml:space="preserve"> of</w:t>
      </w:r>
      <w:r w:rsidR="00C41B62">
        <w:t xml:space="preserve"> the FACET tool</w:t>
      </w:r>
      <w:r w:rsidR="00ED6649">
        <w:t xml:space="preserve"> </w:t>
      </w:r>
      <w:r w:rsidR="00F75243">
        <w:t>is its limited coverage, which is restricted to FCM substances applied in primary packaging</w:t>
      </w:r>
      <w:r w:rsidR="001C5D6A">
        <w:t>, whereas for</w:t>
      </w:r>
      <w:r w:rsidR="00F75243">
        <w:t xml:space="preserve"> a co</w:t>
      </w:r>
      <w:r w:rsidR="00061446">
        <w:t>mplete assessment</w:t>
      </w:r>
      <w:r w:rsidR="00F75243">
        <w:t xml:space="preserve"> secondary packaging </w:t>
      </w:r>
      <w:r w:rsidR="00876424">
        <w:t xml:space="preserve">and </w:t>
      </w:r>
      <w:r w:rsidR="0069751F">
        <w:t xml:space="preserve">articles </w:t>
      </w:r>
      <w:r w:rsidR="00F75243">
        <w:t>should also be considered</w:t>
      </w:r>
      <w:r w:rsidR="001C5D6A">
        <w:t xml:space="preserve">. The application of substances without a FACET number cannot be ruled out </w:t>
      </w:r>
      <w:r w:rsidR="00426115">
        <w:t xml:space="preserve">either, </w:t>
      </w:r>
      <w:r w:rsidR="001C5D6A">
        <w:t>as this information is currently lacking</w:t>
      </w:r>
      <w:r w:rsidR="00F75243">
        <w:t xml:space="preserve">. </w:t>
      </w:r>
      <w:r w:rsidR="00061446">
        <w:t xml:space="preserve">Despite this limitation and even though </w:t>
      </w:r>
      <w:r w:rsidR="001C5D6A">
        <w:t>this approach</w:t>
      </w:r>
      <w:r w:rsidR="00061446">
        <w:t xml:space="preserve"> does not drastically minimize the number of priority substances</w:t>
      </w:r>
      <w:r w:rsidR="005E2AE9">
        <w:t xml:space="preserve"> to be evaluated in-depth</w:t>
      </w:r>
      <w:r w:rsidR="00061446">
        <w:t xml:space="preserve">, </w:t>
      </w:r>
      <w:r w:rsidR="001C5D6A">
        <w:t>it is reasonable to consider the substances associated with a</w:t>
      </w:r>
      <w:r w:rsidR="00061446">
        <w:t xml:space="preserve"> FACET number </w:t>
      </w:r>
      <w:r w:rsidR="001C5D6A">
        <w:t>prior to the ones without such number</w:t>
      </w:r>
      <w:r w:rsidR="00061446">
        <w:t>.</w:t>
      </w:r>
    </w:p>
    <w:p w14:paraId="7DAA66AE" w14:textId="4BDAE213" w:rsidR="00F63038" w:rsidRDefault="001C5D6A" w:rsidP="00B65EAD">
      <w:pPr>
        <w:spacing w:after="0" w:line="480" w:lineRule="auto"/>
        <w:jc w:val="both"/>
      </w:pPr>
      <w:r>
        <w:t xml:space="preserve">Another </w:t>
      </w:r>
      <w:r w:rsidR="00F63038">
        <w:t>interesting</w:t>
      </w:r>
      <w:r>
        <w:t xml:space="preserve"> refinement </w:t>
      </w:r>
      <w:r w:rsidR="005E2AE9">
        <w:t xml:space="preserve">method is </w:t>
      </w:r>
      <w:r w:rsidR="005B6A60">
        <w:t xml:space="preserve">the </w:t>
      </w:r>
      <w:r w:rsidR="00342958">
        <w:t xml:space="preserve">provisional </w:t>
      </w:r>
      <w:r w:rsidR="005B6A60">
        <w:t xml:space="preserve">exclusion of compounds predicted negative by </w:t>
      </w:r>
      <w:r w:rsidR="00FD1EF7">
        <w:t>local QSAR</w:t>
      </w:r>
      <w:r w:rsidR="00A6343D">
        <w:t xml:space="preserve"> models, i.e. specific for a particular group of compounds</w:t>
      </w:r>
      <w:r w:rsidR="005B6A60">
        <w:t xml:space="preserve">. </w:t>
      </w:r>
      <w:r w:rsidR="000C6D23">
        <w:t>Indeed, the prediction capacity of a (Q)SAR model</w:t>
      </w:r>
      <w:r w:rsidR="00F63038">
        <w:t xml:space="preserve"> can be</w:t>
      </w:r>
      <w:r w:rsidR="000C6D23">
        <w:t xml:space="preserve"> i</w:t>
      </w:r>
      <w:r w:rsidR="00F63038">
        <w:t>ncreased</w:t>
      </w:r>
      <w:r w:rsidR="000C6D23">
        <w:t xml:space="preserve"> when the chemical domain is well-defined. </w:t>
      </w:r>
      <w:r w:rsidR="005B6A60">
        <w:t xml:space="preserve">For example, </w:t>
      </w:r>
      <w:r w:rsidR="00CB737B">
        <w:t>it was found that 25</w:t>
      </w:r>
      <w:r w:rsidR="005B6A60">
        <w:t xml:space="preserve"> </w:t>
      </w:r>
      <w:r w:rsidR="000C6D23">
        <w:t xml:space="preserve">of the 106 </w:t>
      </w:r>
      <w:r w:rsidR="001144B3">
        <w:t>substances</w:t>
      </w:r>
      <w:r w:rsidR="00FE28ED">
        <w:t xml:space="preserve"> contain an</w:t>
      </w:r>
      <w:r w:rsidR="001144B3">
        <w:t xml:space="preserve"> </w:t>
      </w:r>
      <w:r w:rsidR="00FD1EF7">
        <w:t>aromatic azo</w:t>
      </w:r>
      <w:r w:rsidR="00F63038">
        <w:t xml:space="preserve"> </w:t>
      </w:r>
      <w:r w:rsidR="00FE28ED">
        <w:t>bond, a</w:t>
      </w:r>
      <w:r w:rsidR="00342958">
        <w:t xml:space="preserve"> chemical structure</w:t>
      </w:r>
      <w:r w:rsidR="00FD1EF7">
        <w:t xml:space="preserve"> </w:t>
      </w:r>
      <w:r w:rsidR="00855B2A">
        <w:t>frequently</w:t>
      </w:r>
      <w:r w:rsidR="00FD1EF7">
        <w:t xml:space="preserve"> found in</w:t>
      </w:r>
      <w:r w:rsidR="00F63038">
        <w:t xml:space="preserve"> pigments and dyes. </w:t>
      </w:r>
      <w:r w:rsidR="00342958">
        <w:t xml:space="preserve">Recently, the </w:t>
      </w:r>
      <w:r w:rsidR="0035103F">
        <w:t>IRFMN</w:t>
      </w:r>
      <w:r w:rsidR="00342958">
        <w:t xml:space="preserve"> developed </w:t>
      </w:r>
      <w:r w:rsidR="00855B2A">
        <w:t>2</w:t>
      </w:r>
      <w:r w:rsidR="00342958">
        <w:t xml:space="preserve"> </w:t>
      </w:r>
      <w:r w:rsidR="00CB737B">
        <w:t xml:space="preserve">QSAR </w:t>
      </w:r>
      <w:r w:rsidR="00FE28ED">
        <w:t>model</w:t>
      </w:r>
      <w:r w:rsidR="008A502C">
        <w:t>s</w:t>
      </w:r>
      <w:r w:rsidR="00FE28ED">
        <w:t xml:space="preserve"> to estimate</w:t>
      </w:r>
      <w:r w:rsidR="00342958">
        <w:t xml:space="preserve"> Am</w:t>
      </w:r>
      <w:r w:rsidR="001144B3">
        <w:t xml:space="preserve">es mutagenicity of </w:t>
      </w:r>
      <w:r w:rsidR="00855B2A">
        <w:t xml:space="preserve">aromatic </w:t>
      </w:r>
      <w:r w:rsidR="00342958">
        <w:t>azo</w:t>
      </w:r>
      <w:r w:rsidR="00EC6B04">
        <w:t xml:space="preserve"> </w:t>
      </w:r>
      <w:r w:rsidR="001C1418">
        <w:t>substances</w:t>
      </w:r>
      <w:r w:rsidR="00342958">
        <w:t xml:space="preserve">, </w:t>
      </w:r>
      <w:r w:rsidR="000655BC">
        <w:t>one</w:t>
      </w:r>
      <w:r w:rsidR="008A502C">
        <w:t xml:space="preserve"> </w:t>
      </w:r>
      <w:r w:rsidR="00342958">
        <w:t>based</w:t>
      </w:r>
      <w:r w:rsidR="0035103F">
        <w:t xml:space="preserve"> on CORAL software</w:t>
      </w:r>
      <w:r w:rsidR="008A502C">
        <w:t xml:space="preserve"> and </w:t>
      </w:r>
      <w:r w:rsidR="000655BC">
        <w:t xml:space="preserve">a </w:t>
      </w:r>
      <w:r w:rsidR="000655BC">
        <w:lastRenderedPageBreak/>
        <w:t>second one</w:t>
      </w:r>
      <w:r w:rsidR="00855B2A">
        <w:t xml:space="preserve"> based on a k-nearest neighbo</w:t>
      </w:r>
      <w:r w:rsidR="008A502C">
        <w:t>rs algorithm</w:t>
      </w:r>
      <w:r w:rsidR="0035103F">
        <w:t xml:space="preserve"> (Manganelli et al., 2016)</w:t>
      </w:r>
      <w:r w:rsidR="001144B3">
        <w:t xml:space="preserve">. </w:t>
      </w:r>
      <w:r w:rsidR="00532449">
        <w:t>Application of the local QSARs resulted in 1</w:t>
      </w:r>
      <w:r w:rsidR="006B3925">
        <w:t>3</w:t>
      </w:r>
      <w:r w:rsidR="00BB3587">
        <w:t xml:space="preserve"> compounds</w:t>
      </w:r>
      <w:r w:rsidR="00532449">
        <w:t xml:space="preserve"> predicted</w:t>
      </w:r>
      <w:r w:rsidR="00EC6B04">
        <w:t xml:space="preserve"> negative in both </w:t>
      </w:r>
      <w:r w:rsidR="00D91753">
        <w:t>models</w:t>
      </w:r>
      <w:r w:rsidR="00532449">
        <w:t xml:space="preserve"> (low priority)</w:t>
      </w:r>
      <w:r w:rsidR="00EC6B04">
        <w:t>,</w:t>
      </w:r>
      <w:r w:rsidR="00D91753">
        <w:t xml:space="preserve"> </w:t>
      </w:r>
      <w:r w:rsidR="006B3925">
        <w:t>5</w:t>
      </w:r>
      <w:r w:rsidR="00D91753">
        <w:t xml:space="preserve"> contradictory results </w:t>
      </w:r>
      <w:r w:rsidR="00532449">
        <w:t xml:space="preserve">(medium priority) </w:t>
      </w:r>
      <w:r w:rsidR="00D91753">
        <w:t>and</w:t>
      </w:r>
      <w:r w:rsidR="00BB3587">
        <w:t xml:space="preserve"> </w:t>
      </w:r>
      <w:r w:rsidR="006B3925">
        <w:t>7</w:t>
      </w:r>
      <w:r w:rsidR="00D91753">
        <w:t xml:space="preserve"> </w:t>
      </w:r>
      <w:r w:rsidR="008E1E9A">
        <w:t xml:space="preserve">positive </w:t>
      </w:r>
      <w:r w:rsidR="00532449">
        <w:t>in</w:t>
      </w:r>
      <w:r w:rsidR="008E1E9A">
        <w:t xml:space="preserve"> </w:t>
      </w:r>
      <w:r w:rsidR="00D91753">
        <w:t>both</w:t>
      </w:r>
      <w:r w:rsidR="00532449">
        <w:t xml:space="preserve"> (high priority)</w:t>
      </w:r>
      <w:r w:rsidR="00D91753">
        <w:t>.</w:t>
      </w:r>
      <w:r w:rsidR="008E1E9A">
        <w:t xml:space="preserve"> </w:t>
      </w:r>
      <w:r w:rsidR="00026882">
        <w:t>Upon c</w:t>
      </w:r>
      <w:r w:rsidR="002741FF">
        <w:t>omb</w:t>
      </w:r>
      <w:r w:rsidR="0096364D">
        <w:t>in</w:t>
      </w:r>
      <w:r w:rsidR="002741FF">
        <w:t xml:space="preserve">ing this </w:t>
      </w:r>
      <w:r w:rsidR="00C57B65">
        <w:t xml:space="preserve">extended </w:t>
      </w:r>
      <w:r w:rsidR="00532449" w:rsidRPr="00532449">
        <w:t>QSAR</w:t>
      </w:r>
      <w:r w:rsidR="00C57B65" w:rsidRPr="00532449">
        <w:t xml:space="preserve"> </w:t>
      </w:r>
      <w:r w:rsidR="00C57B65">
        <w:t>evaluation</w:t>
      </w:r>
      <w:r w:rsidR="002741FF">
        <w:t xml:space="preserve"> with the abovementioned consideration of the existence of a FACET number, </w:t>
      </w:r>
      <w:r w:rsidR="00AF17AA">
        <w:t>3</w:t>
      </w:r>
      <w:r w:rsidR="006F2E09">
        <w:t xml:space="preserve"> substances</w:t>
      </w:r>
      <w:r w:rsidR="002741FF">
        <w:t xml:space="preserve"> of highest concern </w:t>
      </w:r>
      <w:r w:rsidR="006F2E09">
        <w:t>(CAS</w:t>
      </w:r>
      <w:r w:rsidR="00712C36">
        <w:t>#</w:t>
      </w:r>
      <w:r w:rsidR="006F2E09">
        <w:t xml:space="preserve"> </w:t>
      </w:r>
      <w:r w:rsidR="006F2E09" w:rsidRPr="006F2E09">
        <w:t xml:space="preserve">6471-49-4 </w:t>
      </w:r>
      <w:r w:rsidR="00712C36">
        <w:t xml:space="preserve">in </w:t>
      </w:r>
      <w:r w:rsidR="00520496">
        <w:rPr>
          <w:b/>
        </w:rPr>
        <w:t>Table 4</w:t>
      </w:r>
      <w:r w:rsidR="00712C36" w:rsidRPr="00712C36">
        <w:rPr>
          <w:b/>
        </w:rPr>
        <w:t>a</w:t>
      </w:r>
      <w:r w:rsidR="00033139" w:rsidRPr="00033139">
        <w:t>,</w:t>
      </w:r>
      <w:r w:rsidR="00712C36">
        <w:t xml:space="preserve"> CAS#</w:t>
      </w:r>
      <w:r w:rsidR="006F2E09" w:rsidRPr="006F2E09">
        <w:t xml:space="preserve"> 4482-25-1</w:t>
      </w:r>
      <w:r w:rsidR="00712C36">
        <w:t xml:space="preserve"> </w:t>
      </w:r>
      <w:r w:rsidR="00033139">
        <w:t xml:space="preserve">and </w:t>
      </w:r>
      <w:r w:rsidR="00AF17AA" w:rsidRPr="00AF17AA">
        <w:t>74336-59-7</w:t>
      </w:r>
      <w:r w:rsidR="00AF17AA">
        <w:t xml:space="preserve"> </w:t>
      </w:r>
      <w:r w:rsidR="00712C36">
        <w:t xml:space="preserve">in </w:t>
      </w:r>
      <w:r w:rsidR="00520496">
        <w:rPr>
          <w:b/>
        </w:rPr>
        <w:t>Table 4</w:t>
      </w:r>
      <w:r w:rsidR="00712C36" w:rsidRPr="00712C36">
        <w:rPr>
          <w:b/>
        </w:rPr>
        <w:t>b</w:t>
      </w:r>
      <w:r w:rsidR="006F2E09">
        <w:t xml:space="preserve">) </w:t>
      </w:r>
      <w:r w:rsidR="00264C31">
        <w:t>could be</w:t>
      </w:r>
      <w:r w:rsidR="00026882">
        <w:t xml:space="preserve"> identified. They</w:t>
      </w:r>
      <w:r w:rsidR="00712C36">
        <w:t xml:space="preserve"> are</w:t>
      </w:r>
      <w:r w:rsidR="00144338">
        <w:t xml:space="preserve"> positive</w:t>
      </w:r>
      <w:r w:rsidR="00C84607">
        <w:t xml:space="preserve"> in </w:t>
      </w:r>
      <w:r w:rsidR="00F13842">
        <w:t>the</w:t>
      </w:r>
      <w:r w:rsidR="00C84607">
        <w:t xml:space="preserve"> </w:t>
      </w:r>
      <w:r w:rsidR="00C84607" w:rsidRPr="00532449">
        <w:t>6</w:t>
      </w:r>
      <w:r w:rsidR="00144338" w:rsidRPr="00532449">
        <w:t xml:space="preserve"> </w:t>
      </w:r>
      <w:r w:rsidR="00532449" w:rsidRPr="00532449">
        <w:t>(Q)SAR</w:t>
      </w:r>
      <w:r w:rsidR="00C57B65">
        <w:t xml:space="preserve"> tools</w:t>
      </w:r>
      <w:r w:rsidR="00144338">
        <w:t xml:space="preserve"> </w:t>
      </w:r>
      <w:r w:rsidR="00026882">
        <w:t>and have</w:t>
      </w:r>
      <w:r w:rsidR="00464CF8">
        <w:t xml:space="preserve"> in addition</w:t>
      </w:r>
      <w:r w:rsidR="00144338">
        <w:t xml:space="preserve"> been assigned a FACET number</w:t>
      </w:r>
      <w:r w:rsidR="00334B3E">
        <w:t>, confirming their current usage</w:t>
      </w:r>
      <w:r w:rsidR="00A41A29">
        <w:t xml:space="preserve">. </w:t>
      </w:r>
    </w:p>
    <w:p w14:paraId="0D321953" w14:textId="77777777" w:rsidR="0031408B" w:rsidRDefault="0031408B" w:rsidP="00B65EAD">
      <w:pPr>
        <w:spacing w:after="0" w:line="480" w:lineRule="auto"/>
        <w:jc w:val="both"/>
      </w:pPr>
    </w:p>
    <w:p w14:paraId="56023F39" w14:textId="77777777" w:rsidR="0031408B" w:rsidRPr="0031408B" w:rsidRDefault="0031408B" w:rsidP="00B65EAD">
      <w:pPr>
        <w:spacing w:after="0" w:line="480" w:lineRule="auto"/>
        <w:jc w:val="both"/>
        <w:rPr>
          <w:b/>
        </w:rPr>
      </w:pPr>
      <w:r w:rsidRPr="0031408B">
        <w:rPr>
          <w:b/>
        </w:rPr>
        <w:t xml:space="preserve">3.4. </w:t>
      </w:r>
      <w:r w:rsidR="008A7B57">
        <w:rPr>
          <w:b/>
        </w:rPr>
        <w:t>General remarks</w:t>
      </w:r>
    </w:p>
    <w:p w14:paraId="2F403EC8" w14:textId="4CADD4B2" w:rsidR="0031408B" w:rsidRDefault="0031408B" w:rsidP="0031408B">
      <w:pPr>
        <w:spacing w:after="0" w:line="480" w:lineRule="auto"/>
        <w:jc w:val="both"/>
      </w:pPr>
      <w:r>
        <w:t>Ideally, a (Q)SAR should meet the OECD principles for the validation of (Q)SAR tools in order to facilitate its consideration for regulator</w:t>
      </w:r>
      <w:r w:rsidR="00091FC9">
        <w:t>y purposes (OECD, 2014</w:t>
      </w:r>
      <w:r>
        <w:t xml:space="preserve">). The principles state that it should be associated with 1) a defined endpoint; 2) an unambiguous algorithm; 3) a defined domain of applicability; 4) appropriate measures of goodness-of-fit, robustness and predictivity and 5) a mechanistic interpretation, if possible. Moreover, a checklist with questions is available to facilitate the evaluation of a (Q)SAR for the abovementioned criteria. </w:t>
      </w:r>
      <w:r w:rsidR="00A450B2">
        <w:t>T</w:t>
      </w:r>
      <w:r>
        <w:t xml:space="preserve">he guidance document itself points out that these criteria are very difficult to fulfil in practice, </w:t>
      </w:r>
      <w:r w:rsidR="00A450B2">
        <w:t xml:space="preserve">however </w:t>
      </w:r>
      <w:r>
        <w:t>they should be strived for as much as possible. All</w:t>
      </w:r>
      <w:r w:rsidR="00A22FCD">
        <w:t xml:space="preserve"> </w:t>
      </w:r>
      <w:r>
        <w:t>tools</w:t>
      </w:r>
      <w:r w:rsidR="00A22FCD">
        <w:t xml:space="preserve"> applied in the current work</w:t>
      </w:r>
      <w:r>
        <w:t xml:space="preserve"> are linked to a well-defined toxicological endpoint, i.e. Ames mutagenicity. Most of the tools feature a clearly established algorithm. Some of the tools dispose of applicability domain indications</w:t>
      </w:r>
      <w:r w:rsidR="008A1F87">
        <w:t xml:space="preserve"> and provide a mechanistic interpretation</w:t>
      </w:r>
      <w:r w:rsidR="002E7F4C">
        <w:t xml:space="preserve"> for the prediction results</w:t>
      </w:r>
      <w:r>
        <w:t>.</w:t>
      </w:r>
      <w:r w:rsidR="008A1F87">
        <w:t xml:space="preserve"> N</w:t>
      </w:r>
      <w:r>
        <w:t xml:space="preserve">one of the tools is completely transparent when it comes to providing full details of external validation performance. </w:t>
      </w:r>
      <w:r w:rsidR="008A1F87">
        <w:t>Although</w:t>
      </w:r>
      <w:r w:rsidR="007A0105">
        <w:t xml:space="preserve"> all tools have several shortcomings, their type and degree</w:t>
      </w:r>
      <w:r w:rsidR="00905D30">
        <w:t xml:space="preserve"> varies.</w:t>
      </w:r>
      <w:r w:rsidR="007A0105">
        <w:t xml:space="preserve"> </w:t>
      </w:r>
      <w:r w:rsidR="000229AF">
        <w:t>Combining</w:t>
      </w:r>
      <w:r w:rsidR="007A0105">
        <w:t xml:space="preserve"> different tools can</w:t>
      </w:r>
      <w:r w:rsidR="0052067C">
        <w:t xml:space="preserve"> therefore</w:t>
      </w:r>
      <w:r w:rsidR="0041390E">
        <w:t xml:space="preserve"> </w:t>
      </w:r>
      <w:r w:rsidR="00D84AE4">
        <w:t>prove</w:t>
      </w:r>
      <w:r w:rsidR="007A0105">
        <w:t xml:space="preserve"> beneficial</w:t>
      </w:r>
      <w:r w:rsidR="008A7B57">
        <w:t>, e</w:t>
      </w:r>
      <w:r w:rsidR="00B43932">
        <w:t xml:space="preserve">specially for priority setting among large groups of chemical substances, </w:t>
      </w:r>
      <w:r w:rsidR="008A7B57">
        <w:t>as demonstrated in the current study</w:t>
      </w:r>
      <w:r w:rsidR="0052067C">
        <w:t>.</w:t>
      </w:r>
      <w:r w:rsidR="008F1486">
        <w:t xml:space="preserve"> </w:t>
      </w:r>
      <w:r w:rsidR="00875CB8">
        <w:t>E</w:t>
      </w:r>
      <w:r w:rsidR="008F1486">
        <w:t>vidently</w:t>
      </w:r>
      <w:r w:rsidR="00875CB8">
        <w:t xml:space="preserve">, </w:t>
      </w:r>
      <w:r w:rsidR="00E676AC">
        <w:t>validation of</w:t>
      </w:r>
      <w:r w:rsidR="008F1486">
        <w:t xml:space="preserve"> </w:t>
      </w:r>
      <w:r w:rsidR="00875CB8">
        <w:t>a</w:t>
      </w:r>
      <w:r w:rsidR="008F1486">
        <w:t xml:space="preserve"> </w:t>
      </w:r>
      <w:r w:rsidR="00E676AC">
        <w:t xml:space="preserve">(combination of) </w:t>
      </w:r>
      <w:r w:rsidR="00875CB8">
        <w:t>(Q)SAR model</w:t>
      </w:r>
      <w:r w:rsidR="00E676AC">
        <w:t>(s)</w:t>
      </w:r>
      <w:r w:rsidR="00875CB8">
        <w:t xml:space="preserve"> </w:t>
      </w:r>
      <w:r w:rsidR="009115DF">
        <w:t xml:space="preserve">for </w:t>
      </w:r>
      <w:r w:rsidR="00E676AC">
        <w:t xml:space="preserve">a group of </w:t>
      </w:r>
      <w:r w:rsidR="009115DF">
        <w:t xml:space="preserve">compounds </w:t>
      </w:r>
      <w:r w:rsidR="00E676AC">
        <w:t xml:space="preserve">with a specific application is difficult. </w:t>
      </w:r>
      <w:r w:rsidR="00875CB8">
        <w:t xml:space="preserve">Indeed, </w:t>
      </w:r>
      <w:r w:rsidR="00E676AC">
        <w:t>validation</w:t>
      </w:r>
      <w:r w:rsidR="008F1486">
        <w:t xml:space="preserve"> requires a substantial number of evaluated compounds with reliable </w:t>
      </w:r>
      <w:r w:rsidR="00B011D7">
        <w:t xml:space="preserve">experimental </w:t>
      </w:r>
      <w:r w:rsidR="008F1486">
        <w:t>Ames test data.</w:t>
      </w:r>
      <w:r w:rsidR="00B011D7">
        <w:t xml:space="preserve"> </w:t>
      </w:r>
      <w:r w:rsidR="0001566C">
        <w:t>In</w:t>
      </w:r>
      <w:r w:rsidR="003C01B5">
        <w:t xml:space="preserve"> the</w:t>
      </w:r>
      <w:r w:rsidR="0001566C">
        <w:t xml:space="preserve"> case of FCM substances, validation is not only </w:t>
      </w:r>
      <w:r w:rsidR="0001566C">
        <w:lastRenderedPageBreak/>
        <w:t xml:space="preserve">complicated by the limited number of evaluated compounds, but also by the variety of chemical classes to which they belong. </w:t>
      </w:r>
      <w:r w:rsidR="00875CB8">
        <w:t>Due</w:t>
      </w:r>
      <w:r w:rsidR="00B011D7">
        <w:t xml:space="preserve"> to the current lack of knowledge as to which model is most capable of generating trustworthy predictions</w:t>
      </w:r>
      <w:r w:rsidR="00875CB8">
        <w:t xml:space="preserve"> for printed paper and board FCM substances</w:t>
      </w:r>
      <w:r w:rsidR="00B011D7">
        <w:t>, it is</w:t>
      </w:r>
      <w:r w:rsidR="00875CB8">
        <w:t xml:space="preserve"> thus deemed</w:t>
      </w:r>
      <w:r w:rsidR="00B011D7">
        <w:t xml:space="preserve"> appropriate to use a </w:t>
      </w:r>
      <w:r w:rsidR="00875CB8">
        <w:t>screening battery</w:t>
      </w:r>
      <w:r w:rsidR="00B011D7">
        <w:t xml:space="preserve"> of complementary systems (i.e. SARs and QSARs).</w:t>
      </w:r>
    </w:p>
    <w:p w14:paraId="423B246E" w14:textId="77777777" w:rsidR="00264C31" w:rsidRDefault="00264C31" w:rsidP="0031408B">
      <w:pPr>
        <w:spacing w:after="0" w:line="480" w:lineRule="auto"/>
        <w:jc w:val="both"/>
      </w:pPr>
    </w:p>
    <w:p w14:paraId="4EB546A9" w14:textId="76B193EE" w:rsidR="002319BC" w:rsidRDefault="0079338D" w:rsidP="002319BC">
      <w:pPr>
        <w:spacing w:after="0" w:line="480" w:lineRule="auto"/>
        <w:jc w:val="both"/>
        <w:rPr>
          <w:b/>
          <w:sz w:val="24"/>
        </w:rPr>
      </w:pPr>
      <w:r>
        <w:rPr>
          <w:b/>
          <w:sz w:val="24"/>
        </w:rPr>
        <w:t>4</w:t>
      </w:r>
      <w:r w:rsidR="002319BC">
        <w:rPr>
          <w:b/>
          <w:sz w:val="24"/>
        </w:rPr>
        <w:t xml:space="preserve">. </w:t>
      </w:r>
      <w:r w:rsidR="002319BC" w:rsidRPr="00F152B3">
        <w:rPr>
          <w:b/>
          <w:sz w:val="24"/>
        </w:rPr>
        <w:t>Conclusion</w:t>
      </w:r>
    </w:p>
    <w:p w14:paraId="00D7599D" w14:textId="2195051C" w:rsidR="007C67B9" w:rsidRPr="001D0520" w:rsidRDefault="00264C31" w:rsidP="00B70E4A">
      <w:pPr>
        <w:spacing w:after="0" w:line="480" w:lineRule="auto"/>
        <w:jc w:val="both"/>
      </w:pPr>
      <w:r>
        <w:t>In this study, the beneficial</w:t>
      </w:r>
      <w:r w:rsidR="00A861BA">
        <w:t xml:space="preserve"> role of </w:t>
      </w:r>
      <w:r w:rsidR="00A861BA" w:rsidRPr="00A861BA">
        <w:rPr>
          <w:i/>
        </w:rPr>
        <w:t>in silico</w:t>
      </w:r>
      <w:r w:rsidR="00A861BA">
        <w:t xml:space="preserve"> tools in prioritization</w:t>
      </w:r>
      <w:r w:rsidR="0071614E">
        <w:t xml:space="preserve"> </w:t>
      </w:r>
      <w:r>
        <w:t>strategie</w:t>
      </w:r>
      <w:r w:rsidR="0071614E">
        <w:t>s</w:t>
      </w:r>
      <w:r w:rsidR="00A861BA">
        <w:t xml:space="preserve"> was demonstrated using non-evaluated printed paper and board FCM substances as an example</w:t>
      </w:r>
      <w:r w:rsidR="00334B3E">
        <w:t>. H</w:t>
      </w:r>
      <w:r w:rsidR="00ED05DD">
        <w:t>owever</w:t>
      </w:r>
      <w:r w:rsidR="00334B3E">
        <w:t>,</w:t>
      </w:r>
      <w:r w:rsidR="00ED05DD">
        <w:t xml:space="preserve"> </w:t>
      </w:r>
      <w:r w:rsidR="000E2D83">
        <w:t>a</w:t>
      </w:r>
      <w:r w:rsidR="00D30A7B">
        <w:t xml:space="preserve"> much wider</w:t>
      </w:r>
      <w:r w:rsidR="000E2D83">
        <w:t xml:space="preserve"> range of</w:t>
      </w:r>
      <w:r w:rsidR="00ED05DD">
        <w:t xml:space="preserve"> application domains can be anticipated</w:t>
      </w:r>
      <w:r w:rsidR="001824F7">
        <w:t xml:space="preserve">. For instance, the strategy </w:t>
      </w:r>
      <w:r w:rsidR="00D30A7B">
        <w:t>could</w:t>
      </w:r>
      <w:r w:rsidR="009134B1">
        <w:t xml:space="preserve"> be useful in </w:t>
      </w:r>
      <w:r w:rsidR="00D30A7B">
        <w:t xml:space="preserve">prominent </w:t>
      </w:r>
      <w:r w:rsidR="001824F7">
        <w:t>issues</w:t>
      </w:r>
      <w:r w:rsidR="009134B1">
        <w:t xml:space="preserve"> </w:t>
      </w:r>
      <w:r w:rsidR="00D30A7B">
        <w:t>among which</w:t>
      </w:r>
      <w:r w:rsidR="001824F7">
        <w:t xml:space="preserve"> the prioritization of</w:t>
      </w:r>
      <w:r w:rsidR="00533C54">
        <w:t xml:space="preserve"> long-standing </w:t>
      </w:r>
      <w:r w:rsidR="000E2D83">
        <w:t>industrial chemicals</w:t>
      </w:r>
      <w:r w:rsidR="00533C54">
        <w:t xml:space="preserve"> lacking a (recent) safety evaluation</w:t>
      </w:r>
      <w:r w:rsidR="009134B1">
        <w:t>,</w:t>
      </w:r>
      <w:r w:rsidR="001824F7">
        <w:t xml:space="preserve"> and</w:t>
      </w:r>
      <w:r w:rsidR="000E2D83">
        <w:t xml:space="preserve"> </w:t>
      </w:r>
      <w:r w:rsidR="009134B1">
        <w:t xml:space="preserve">of </w:t>
      </w:r>
      <w:r w:rsidR="000E2D83">
        <w:t>s</w:t>
      </w:r>
      <w:r w:rsidR="00684488">
        <w:t>econdary substances</w:t>
      </w:r>
      <w:r w:rsidR="001824F7">
        <w:t xml:space="preserve"> – found in most chemical formulations – </w:t>
      </w:r>
      <w:r w:rsidR="00D30A7B">
        <w:t>such as</w:t>
      </w:r>
      <w:r w:rsidR="000E2D83">
        <w:t xml:space="preserve"> impurities or </w:t>
      </w:r>
      <w:r w:rsidR="00793068">
        <w:t>degradation products</w:t>
      </w:r>
      <w:r w:rsidR="001824F7">
        <w:t>.</w:t>
      </w:r>
      <w:r w:rsidR="00337D12">
        <w:t xml:space="preserve"> </w:t>
      </w:r>
      <w:r w:rsidR="009134B1">
        <w:t xml:space="preserve">In the current </w:t>
      </w:r>
      <w:r w:rsidR="00D30A7B">
        <w:t>work</w:t>
      </w:r>
      <w:r w:rsidR="009134B1">
        <w:t>, t</w:t>
      </w:r>
      <w:r w:rsidR="00B760DA">
        <w:t>he selection of model(s) had</w:t>
      </w:r>
      <w:r w:rsidR="00A861BA">
        <w:t xml:space="preserve"> an impact on the number of positives, </w:t>
      </w:r>
      <w:r w:rsidR="0071614E">
        <w:t>as this</w:t>
      </w:r>
      <w:r w:rsidR="00A861BA">
        <w:t xml:space="preserve"> was substantially lower when using Derek</w:t>
      </w:r>
      <w:r w:rsidR="00F13842">
        <w:t xml:space="preserve"> Nexus™</w:t>
      </w:r>
      <w:r w:rsidR="00A861BA">
        <w:t xml:space="preserve"> or Sarah</w:t>
      </w:r>
      <w:r w:rsidR="00F13842">
        <w:t xml:space="preserve"> Nexus™</w:t>
      </w:r>
      <w:r w:rsidR="00A861BA">
        <w:t xml:space="preserve"> compared to using Toxtree or VEGA. </w:t>
      </w:r>
      <w:r w:rsidR="00CE6DC9">
        <w:t>One hundred and six</w:t>
      </w:r>
      <w:r w:rsidR="00AB4839">
        <w:t xml:space="preserve"> substances </w:t>
      </w:r>
      <w:r w:rsidR="00516E92">
        <w:t>we</w:t>
      </w:r>
      <w:r w:rsidR="00CE6DC9">
        <w:t xml:space="preserve">re </w:t>
      </w:r>
      <w:r w:rsidR="00F332BF">
        <w:t>consistently</w:t>
      </w:r>
      <w:r w:rsidR="00285755">
        <w:t xml:space="preserve"> predicted</w:t>
      </w:r>
      <w:r w:rsidR="00F332BF">
        <w:t xml:space="preserve"> </w:t>
      </w:r>
      <w:r w:rsidR="00CE6DC9">
        <w:t>positive</w:t>
      </w:r>
      <w:r w:rsidR="00F332BF">
        <w:t xml:space="preserve"> </w:t>
      </w:r>
      <w:r w:rsidR="008B59A3">
        <w:t>in a battery of</w:t>
      </w:r>
      <w:r w:rsidR="00AB4839">
        <w:t xml:space="preserve"> </w:t>
      </w:r>
      <w:r w:rsidR="006F4EAB">
        <w:t>4 (Q)SAR</w:t>
      </w:r>
      <w:r w:rsidR="00AB4839">
        <w:t xml:space="preserve"> </w:t>
      </w:r>
      <w:r w:rsidR="00CE6DC9">
        <w:t xml:space="preserve">Ames mutagenicity </w:t>
      </w:r>
      <w:r w:rsidR="00AB4839">
        <w:t xml:space="preserve">tools. </w:t>
      </w:r>
      <w:r w:rsidR="007730DA">
        <w:t xml:space="preserve">Subsequent priority ranking </w:t>
      </w:r>
      <w:r w:rsidR="0037230F">
        <w:t>to determine</w:t>
      </w:r>
      <w:r w:rsidR="007730DA">
        <w:t xml:space="preserve"> the urgency for an </w:t>
      </w:r>
      <w:r w:rsidR="00CE6DC9">
        <w:t>in-depth safety evaluation</w:t>
      </w:r>
      <w:r w:rsidR="007730DA">
        <w:t xml:space="preserve"> </w:t>
      </w:r>
      <w:r w:rsidR="00516E92">
        <w:t>was</w:t>
      </w:r>
      <w:r w:rsidR="001D0520">
        <w:t xml:space="preserve"> established by </w:t>
      </w:r>
      <w:r w:rsidR="007730DA">
        <w:t>investiga</w:t>
      </w:r>
      <w:r w:rsidR="001D0520">
        <w:t xml:space="preserve">ting the availability </w:t>
      </w:r>
      <w:r w:rsidR="0037230F">
        <w:t>(</w:t>
      </w:r>
      <w:r w:rsidR="001D0520">
        <w:t>and quality</w:t>
      </w:r>
      <w:r w:rsidR="0037230F">
        <w:t>)</w:t>
      </w:r>
      <w:r w:rsidR="001D0520">
        <w:t xml:space="preserve"> of</w:t>
      </w:r>
      <w:r w:rsidR="0037230F">
        <w:t xml:space="preserve"> </w:t>
      </w:r>
      <w:r w:rsidR="001D0520">
        <w:t>experimental toxicological data</w:t>
      </w:r>
      <w:r w:rsidR="00516E92">
        <w:t xml:space="preserve"> within the </w:t>
      </w:r>
      <w:r w:rsidR="0071614E">
        <w:t>(Q)SAR tools</w:t>
      </w:r>
      <w:r w:rsidR="00A861BA">
        <w:t xml:space="preserve">. </w:t>
      </w:r>
      <w:r w:rsidR="00ED05DD">
        <w:t xml:space="preserve">Furthermore, local QSAR systems </w:t>
      </w:r>
      <w:r w:rsidR="00516E92">
        <w:t>also proved useful for</w:t>
      </w:r>
      <w:r w:rsidR="00ED05DD">
        <w:t xml:space="preserve"> </w:t>
      </w:r>
      <w:r w:rsidR="00516E92">
        <w:t>refining</w:t>
      </w:r>
      <w:r w:rsidR="00B3405C">
        <w:t xml:space="preserve"> </w:t>
      </w:r>
      <w:r w:rsidR="001464BC">
        <w:t>the prioritization</w:t>
      </w:r>
      <w:r w:rsidR="00ED05DD">
        <w:t xml:space="preserve"> </w:t>
      </w:r>
      <w:r w:rsidR="002B228B">
        <w:t>of</w:t>
      </w:r>
      <w:r w:rsidR="00B3405C">
        <w:t xml:space="preserve"> well-defined structurally similar molecules</w:t>
      </w:r>
      <w:r w:rsidR="00ED05DD">
        <w:t>.</w:t>
      </w:r>
      <w:r w:rsidR="00A740C9">
        <w:t xml:space="preserve"> </w:t>
      </w:r>
      <w:r w:rsidR="00F361C3">
        <w:t xml:space="preserve">To conclude, the prioritized printed paper and board FCM substances will be subjected to a more extensive investigation of their potential genotoxicity </w:t>
      </w:r>
      <w:r w:rsidR="002F0B7C">
        <w:t>consisting</w:t>
      </w:r>
      <w:r w:rsidR="00F361C3">
        <w:t xml:space="preserve"> of literature study and</w:t>
      </w:r>
      <w:r w:rsidR="00C422F3">
        <w:t xml:space="preserve">, if necessary, </w:t>
      </w:r>
      <w:r w:rsidR="00C422F3">
        <w:rPr>
          <w:i/>
        </w:rPr>
        <w:t xml:space="preserve">in vitro </w:t>
      </w:r>
      <w:r w:rsidR="00C422F3">
        <w:t>testing.</w:t>
      </w:r>
      <w:r w:rsidR="00F361C3">
        <w:t xml:space="preserve"> </w:t>
      </w:r>
    </w:p>
    <w:p w14:paraId="66D46D8F" w14:textId="77777777" w:rsidR="00AB4839" w:rsidRDefault="00AB4839" w:rsidP="00B70E4A">
      <w:pPr>
        <w:spacing w:after="0" w:line="480" w:lineRule="auto"/>
        <w:jc w:val="both"/>
      </w:pPr>
    </w:p>
    <w:p w14:paraId="7E7BFE4E" w14:textId="6B21D78D" w:rsidR="00170C10" w:rsidRDefault="001B266F" w:rsidP="00BF72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14:paraId="7B07A911" w14:textId="2C38312B" w:rsidR="00AE464D" w:rsidRDefault="001B266F" w:rsidP="00AE464D">
      <w:pPr>
        <w:spacing w:after="0" w:line="480" w:lineRule="auto"/>
        <w:jc w:val="both"/>
        <w:rPr>
          <w:szCs w:val="24"/>
        </w:rPr>
      </w:pPr>
      <w:r>
        <w:rPr>
          <w:szCs w:val="24"/>
        </w:rPr>
        <w:t>Th</w:t>
      </w:r>
      <w:r w:rsidR="00206400">
        <w:rPr>
          <w:szCs w:val="24"/>
        </w:rPr>
        <w:t>e authors thank the</w:t>
      </w:r>
      <w:r w:rsidR="00320DCA">
        <w:rPr>
          <w:szCs w:val="24"/>
        </w:rPr>
        <w:t xml:space="preserve"> Belgian Scientific Institute of Public Health (</w:t>
      </w:r>
      <w:r w:rsidR="00BE53BB">
        <w:rPr>
          <w:szCs w:val="24"/>
        </w:rPr>
        <w:t xml:space="preserve">WIV-ISP, </w:t>
      </w:r>
      <w:r w:rsidR="00320DCA">
        <w:rPr>
          <w:szCs w:val="24"/>
        </w:rPr>
        <w:t>grant P2026.0510.1)</w:t>
      </w:r>
      <w:r w:rsidR="00206400">
        <w:rPr>
          <w:szCs w:val="24"/>
        </w:rPr>
        <w:t xml:space="preserve"> for</w:t>
      </w:r>
      <w:r w:rsidR="00BE53BB">
        <w:rPr>
          <w:szCs w:val="24"/>
        </w:rPr>
        <w:t xml:space="preserve"> providing</w:t>
      </w:r>
      <w:r w:rsidR="00206400">
        <w:rPr>
          <w:szCs w:val="24"/>
        </w:rPr>
        <w:t xml:space="preserve"> financial support, and </w:t>
      </w:r>
      <w:r w:rsidR="00320DCA">
        <w:rPr>
          <w:szCs w:val="24"/>
        </w:rPr>
        <w:t>Dr. Geert V</w:t>
      </w:r>
      <w:r w:rsidR="00F01F63">
        <w:rPr>
          <w:szCs w:val="24"/>
        </w:rPr>
        <w:t>erheyen (Thomas More Kempen, Belgium)</w:t>
      </w:r>
      <w:r w:rsidR="00320DCA">
        <w:rPr>
          <w:szCs w:val="24"/>
        </w:rPr>
        <w:t xml:space="preserve"> for </w:t>
      </w:r>
      <w:r w:rsidR="00622F5E">
        <w:rPr>
          <w:szCs w:val="24"/>
        </w:rPr>
        <w:t>criti</w:t>
      </w:r>
      <w:r w:rsidR="00320DCA">
        <w:rPr>
          <w:szCs w:val="24"/>
        </w:rPr>
        <w:t xml:space="preserve">cally reviewing </w:t>
      </w:r>
      <w:r w:rsidR="00206400">
        <w:rPr>
          <w:szCs w:val="24"/>
        </w:rPr>
        <w:t>this manuscript</w:t>
      </w:r>
      <w:r w:rsidR="00320DCA">
        <w:rPr>
          <w:szCs w:val="24"/>
        </w:rPr>
        <w:t xml:space="preserve">. </w:t>
      </w:r>
      <w:r w:rsidR="00AE464D">
        <w:rPr>
          <w:szCs w:val="24"/>
        </w:rPr>
        <w:br w:type="page"/>
      </w:r>
    </w:p>
    <w:p w14:paraId="4A1D0329" w14:textId="77777777" w:rsidR="001B266F" w:rsidRPr="001B266F" w:rsidRDefault="001B266F" w:rsidP="00BF7234">
      <w:pPr>
        <w:rPr>
          <w:szCs w:val="24"/>
        </w:rPr>
        <w:sectPr w:rsidR="001B266F" w:rsidRPr="001B266F" w:rsidSect="00B6356C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5D80419" w14:textId="5818FC73" w:rsidR="008B59A3" w:rsidRPr="00BA6834" w:rsidRDefault="008B59A3" w:rsidP="008B59A3">
      <w:pPr>
        <w:spacing w:after="0" w:line="480" w:lineRule="auto"/>
        <w:jc w:val="both"/>
        <w:rPr>
          <w:b/>
          <w:sz w:val="24"/>
          <w:lang w:val="en-US"/>
        </w:rPr>
      </w:pPr>
      <w:r w:rsidRPr="00BA6834">
        <w:rPr>
          <w:b/>
          <w:sz w:val="24"/>
          <w:lang w:val="en-US"/>
        </w:rPr>
        <w:lastRenderedPageBreak/>
        <w:t>References</w:t>
      </w:r>
    </w:p>
    <w:p w14:paraId="7B222665" w14:textId="77777777" w:rsidR="008B59A3" w:rsidRDefault="008B59A3" w:rsidP="008B59A3">
      <w:pPr>
        <w:spacing w:after="0" w:line="480" w:lineRule="auto"/>
      </w:pPr>
      <w:r w:rsidRPr="004441D3">
        <w:t>Bakhtyari, N.G., Raitano, G., Benfenati, E., Martin, T., Young,</w:t>
      </w:r>
      <w:r>
        <w:t xml:space="preserve"> D.</w:t>
      </w:r>
      <w:r w:rsidRPr="004441D3">
        <w:t xml:space="preserve">, 2013. </w:t>
      </w:r>
      <w:r>
        <w:t>Comparison of in silico models</w:t>
      </w:r>
    </w:p>
    <w:p w14:paraId="6827DF82" w14:textId="77777777" w:rsidR="008B59A3" w:rsidRPr="004441D3" w:rsidRDefault="008B59A3" w:rsidP="008B59A3">
      <w:pPr>
        <w:spacing w:after="0" w:line="480" w:lineRule="auto"/>
        <w:ind w:left="720"/>
        <w:rPr>
          <w:lang w:val="fr-FR"/>
        </w:rPr>
      </w:pPr>
      <w:r>
        <w:t xml:space="preserve">for prediction of mutagenicity. </w:t>
      </w:r>
      <w:r w:rsidRPr="00BA6834">
        <w:rPr>
          <w:lang w:val="en-US"/>
        </w:rPr>
        <w:t xml:space="preserve">J. Environ. Sci. Health C Environ. Carcinog. </w:t>
      </w:r>
      <w:r w:rsidRPr="004441D3">
        <w:rPr>
          <w:lang w:val="fr-FR"/>
        </w:rPr>
        <w:t>Eco</w:t>
      </w:r>
      <w:r w:rsidR="00C67540">
        <w:rPr>
          <w:lang w:val="fr-FR"/>
        </w:rPr>
        <w:t>toxical. Rev. 31:1, 45-66. DOI:</w:t>
      </w:r>
      <w:r w:rsidRPr="004441D3">
        <w:rPr>
          <w:lang w:val="fr-FR"/>
        </w:rPr>
        <w:t>10.1080/10590501.2013.763576</w:t>
      </w:r>
    </w:p>
    <w:p w14:paraId="5CB670F1" w14:textId="77777777" w:rsidR="008B59A3" w:rsidRPr="00BA6834" w:rsidRDefault="008B59A3" w:rsidP="008B59A3">
      <w:pPr>
        <w:spacing w:after="0" w:line="480" w:lineRule="auto"/>
        <w:rPr>
          <w:lang w:val="fr-BE"/>
        </w:rPr>
      </w:pPr>
      <w:r w:rsidRPr="004441D3">
        <w:rPr>
          <w:lang w:val="fr-FR"/>
        </w:rPr>
        <w:t>Cassano, A., Raitano, G., Mombelli, E., Fernández, A., Cester, J., Roncaglioni, A., Benfenati</w:t>
      </w:r>
      <w:r w:rsidRPr="00BA6834">
        <w:rPr>
          <w:lang w:val="fr-BE"/>
        </w:rPr>
        <w:t>, E., 2014.</w:t>
      </w:r>
    </w:p>
    <w:p w14:paraId="5E17AAE9" w14:textId="77777777" w:rsidR="008B59A3" w:rsidRPr="004441D3" w:rsidRDefault="008B59A3" w:rsidP="008B59A3">
      <w:pPr>
        <w:spacing w:after="0" w:line="480" w:lineRule="auto"/>
        <w:ind w:left="720"/>
      </w:pPr>
      <w:r>
        <w:t>Evaluation of QSAR m</w:t>
      </w:r>
      <w:r w:rsidRPr="004441D3">
        <w:t>odels for the</w:t>
      </w:r>
      <w:r>
        <w:t xml:space="preserve"> prediction of Ames g</w:t>
      </w:r>
      <w:r w:rsidRPr="004441D3">
        <w:t>enotoxicity: A</w:t>
      </w:r>
      <w:r>
        <w:t xml:space="preserve"> retrospective exercise on the c</w:t>
      </w:r>
      <w:r w:rsidRPr="004441D3">
        <w:t>hemical</w:t>
      </w:r>
      <w:r>
        <w:t xml:space="preserve"> s</w:t>
      </w:r>
      <w:r w:rsidRPr="004441D3">
        <w:t xml:space="preserve">ubstances </w:t>
      </w:r>
      <w:r>
        <w:t>registered u</w:t>
      </w:r>
      <w:r w:rsidRPr="004441D3">
        <w:t xml:space="preserve">nder the EU REACH Regulation. </w:t>
      </w:r>
      <w:r>
        <w:t xml:space="preserve">J. Environ. Sci. Health C Environ. Carcinog. Ecotoxical. Rev. </w:t>
      </w:r>
      <w:r w:rsidRPr="004441D3">
        <w:t>32:3, 273-298</w:t>
      </w:r>
      <w:r>
        <w:t xml:space="preserve">. </w:t>
      </w:r>
      <w:r w:rsidR="00C67540">
        <w:t>DOI:</w:t>
      </w:r>
      <w:r w:rsidRPr="004441D3">
        <w:t>10.1080/10590501.2014.938955</w:t>
      </w:r>
    </w:p>
    <w:p w14:paraId="4D0492EC" w14:textId="77777777" w:rsidR="00C67540" w:rsidRDefault="00C67540" w:rsidP="008B59A3">
      <w:pPr>
        <w:spacing w:after="0" w:line="480" w:lineRule="auto"/>
      </w:pPr>
      <w:r w:rsidRPr="00C67540">
        <w:t>Chaudry, Q., Piclin, N., Cotterill, J., Pintore, M., Price, N.R., Chrétien, J.R., Roncaglioni, A.</w:t>
      </w:r>
      <w:r>
        <w:t xml:space="preserve">, 2010. </w:t>
      </w:r>
    </w:p>
    <w:p w14:paraId="43853F40" w14:textId="77777777" w:rsidR="00C67540" w:rsidRDefault="00C67540" w:rsidP="00C67540">
      <w:pPr>
        <w:spacing w:after="0" w:line="480" w:lineRule="auto"/>
        <w:ind w:left="720"/>
      </w:pPr>
      <w:r>
        <w:t>Global QSAR models of skin sensitisers for regulatory purposes. Chemistry Central Journal. 4(Suppl 1):S5. DOI:10.1186/1752-153X-4-S1-S5</w:t>
      </w:r>
    </w:p>
    <w:p w14:paraId="69D85A15" w14:textId="77777777" w:rsidR="008B59A3" w:rsidRDefault="00C67540" w:rsidP="008B59A3">
      <w:pPr>
        <w:spacing w:after="0" w:line="480" w:lineRule="auto"/>
      </w:pPr>
      <w:r w:rsidRPr="006B5308">
        <w:t>C</w:t>
      </w:r>
      <w:r w:rsidR="008B59A3" w:rsidRPr="006B5308">
        <w:t xml:space="preserve">laxton, L.D., Umbuzeiro, Gde, A., DeMarini, D.M., 2010. </w:t>
      </w:r>
      <w:r w:rsidR="008B59A3" w:rsidRPr="005E045A">
        <w:t xml:space="preserve">The Salmonella Mutagenicity Assay: The </w:t>
      </w:r>
    </w:p>
    <w:p w14:paraId="2C04BDAF" w14:textId="77777777" w:rsidR="008B59A3" w:rsidRDefault="008B59A3" w:rsidP="008B59A3">
      <w:pPr>
        <w:spacing w:after="0" w:line="480" w:lineRule="auto"/>
      </w:pPr>
      <w:r>
        <w:tab/>
      </w:r>
      <w:r w:rsidRPr="005E045A">
        <w:t xml:space="preserve">Stethoscope of Genetic Toxicology for the 21st Century </w:t>
      </w:r>
      <w:r w:rsidRPr="004441D3">
        <w:t>2010.</w:t>
      </w:r>
      <w:r>
        <w:t xml:space="preserve"> </w:t>
      </w:r>
      <w:r w:rsidRPr="005E045A">
        <w:t>Environ</w:t>
      </w:r>
      <w:r>
        <w:t>.</w:t>
      </w:r>
      <w:r w:rsidRPr="005E045A">
        <w:t xml:space="preserve"> Health Perspect</w:t>
      </w:r>
      <w:r>
        <w:t>.</w:t>
      </w:r>
    </w:p>
    <w:p w14:paraId="4CEDA52F" w14:textId="77777777" w:rsidR="00C67540" w:rsidRDefault="008B59A3" w:rsidP="00C67540">
      <w:pPr>
        <w:spacing w:after="0" w:line="480" w:lineRule="auto"/>
        <w:ind w:firstLine="720"/>
      </w:pPr>
      <w:r>
        <w:t xml:space="preserve">118, </w:t>
      </w:r>
      <w:r w:rsidRPr="005E045A">
        <w:t>1515-1522</w:t>
      </w:r>
      <w:r>
        <w:t>.</w:t>
      </w:r>
      <w:r w:rsidRPr="005E045A">
        <w:t xml:space="preserve"> </w:t>
      </w:r>
      <w:r w:rsidR="00C67540" w:rsidRPr="00C67540">
        <w:t>DOI:10.1289/ehp.1002336</w:t>
      </w:r>
    </w:p>
    <w:p w14:paraId="52D70048" w14:textId="4F9A696E" w:rsidR="009A1F31" w:rsidRDefault="009A1F31" w:rsidP="001E3009">
      <w:pPr>
        <w:spacing w:after="0" w:line="480" w:lineRule="auto"/>
      </w:pPr>
      <w:r>
        <w:t xml:space="preserve">Cotterill, J.V., Chaudhry, M.Q., Matthews, W., Watkins, R.W., 2008. In silico assessment of toxicity of </w:t>
      </w:r>
    </w:p>
    <w:p w14:paraId="5E64799D" w14:textId="53BD262B" w:rsidR="009A1F31" w:rsidRDefault="009A1F31" w:rsidP="001E3009">
      <w:pPr>
        <w:spacing w:after="0" w:line="480" w:lineRule="auto"/>
      </w:pPr>
      <w:r>
        <w:tab/>
        <w:t>heat-generated food contaminants. Food Chem. Toxicol. 46:6, 1905-1918.</w:t>
      </w:r>
    </w:p>
    <w:p w14:paraId="458CD98C" w14:textId="2FF9C848" w:rsidR="009A1F31" w:rsidRPr="00CF0A9B" w:rsidRDefault="009A1F31" w:rsidP="001E3009">
      <w:pPr>
        <w:spacing w:after="0" w:line="480" w:lineRule="auto"/>
      </w:pPr>
      <w:r>
        <w:tab/>
      </w:r>
      <w:r w:rsidRPr="009A1F31">
        <w:t xml:space="preserve">DOI: </w:t>
      </w:r>
      <w:r w:rsidRPr="00CF0A9B">
        <w:t>http://dx.doi.org/10.1016/j.fct.2008.01.030</w:t>
      </w:r>
    </w:p>
    <w:p w14:paraId="12701124" w14:textId="77777777" w:rsidR="001E3009" w:rsidRPr="001E3009" w:rsidRDefault="001E3009" w:rsidP="001E3009">
      <w:pPr>
        <w:spacing w:after="0" w:line="480" w:lineRule="auto"/>
      </w:pPr>
      <w:r w:rsidRPr="001E3009">
        <w:t>ECHA, 2016. ECHA Database. Available from: http://</w:t>
      </w:r>
      <w:hyperlink r:id="rId23" w:history="1">
        <w:r w:rsidRPr="001E3009">
          <w:rPr>
            <w:rStyle w:val="Hyperlink"/>
            <w:color w:val="auto"/>
            <w:u w:val="none"/>
          </w:rPr>
          <w:t>www.echa.europa.eu</w:t>
        </w:r>
      </w:hyperlink>
      <w:r w:rsidRPr="001E3009">
        <w:t xml:space="preserve">/ </w:t>
      </w:r>
    </w:p>
    <w:p w14:paraId="53E6E845" w14:textId="77777777" w:rsidR="008B59A3" w:rsidRDefault="008B59A3" w:rsidP="008B59A3">
      <w:pPr>
        <w:spacing w:after="0" w:line="480" w:lineRule="auto"/>
      </w:pPr>
      <w:r w:rsidRPr="004441D3">
        <w:t>EFSA, 2005. Opinion of the Scie</w:t>
      </w:r>
      <w:r w:rsidRPr="00B35CC0">
        <w:t xml:space="preserve">ntific Panel on Food Additives, Flavourings, Processing Aids and </w:t>
      </w:r>
    </w:p>
    <w:p w14:paraId="5C6983FE" w14:textId="77777777" w:rsidR="008B59A3" w:rsidRPr="00B35CC0" w:rsidRDefault="008B59A3" w:rsidP="008B59A3">
      <w:pPr>
        <w:spacing w:after="0" w:line="480" w:lineRule="auto"/>
        <w:ind w:left="720"/>
      </w:pPr>
      <w:r w:rsidRPr="00B35CC0">
        <w:t xml:space="preserve">Materials in Contact with Food on a request from the Commission related to 2-isopropylthioxanthone (ITX) and 2-ethylhexyl-4-dimethylaminobenzoate (EHDAB) in food contact materials. EFSA J. 293, 1-15. </w:t>
      </w:r>
    </w:p>
    <w:p w14:paraId="56F99AD0" w14:textId="77777777" w:rsidR="008B59A3" w:rsidRDefault="008B59A3" w:rsidP="008B59A3">
      <w:pPr>
        <w:spacing w:after="0" w:line="480" w:lineRule="auto"/>
      </w:pPr>
      <w:r w:rsidRPr="00875A29">
        <w:t>EFSA, 2009. EFSA statement on the presence of 4-methylbenzophe</w:t>
      </w:r>
      <w:r>
        <w:t>none found in breakfast cereals.</w:t>
      </w:r>
      <w:r w:rsidRPr="00875A29">
        <w:t xml:space="preserve"> </w:t>
      </w:r>
    </w:p>
    <w:p w14:paraId="40B4FAD9" w14:textId="77777777" w:rsidR="008B59A3" w:rsidRPr="001941C6" w:rsidRDefault="008B59A3" w:rsidP="008B59A3">
      <w:pPr>
        <w:spacing w:after="0" w:line="480" w:lineRule="auto"/>
      </w:pPr>
      <w:r>
        <w:tab/>
      </w:r>
      <w:r w:rsidRPr="001941C6">
        <w:t>EFSA J. RN-243, 1-19.</w:t>
      </w:r>
    </w:p>
    <w:p w14:paraId="7A083623" w14:textId="77777777" w:rsidR="008B59A3" w:rsidRDefault="008B59A3" w:rsidP="008B59A3">
      <w:pPr>
        <w:spacing w:after="0" w:line="480" w:lineRule="auto"/>
      </w:pPr>
      <w:r>
        <w:t xml:space="preserve">EFSA, 2012. Special Issue: </w:t>
      </w:r>
      <w:r w:rsidRPr="00452AEC">
        <w:t>Food contact materials, flavouring substances and smoke flavourings</w:t>
      </w:r>
      <w:r>
        <w:t>. EFSA</w:t>
      </w:r>
    </w:p>
    <w:p w14:paraId="2811DEB8" w14:textId="77777777" w:rsidR="008B59A3" w:rsidRDefault="008B59A3" w:rsidP="008B59A3">
      <w:pPr>
        <w:spacing w:after="0" w:line="480" w:lineRule="auto"/>
        <w:ind w:firstLine="720"/>
      </w:pPr>
      <w:r>
        <w:lastRenderedPageBreak/>
        <w:t>J. 10(10):s1007, 1-8.</w:t>
      </w:r>
      <w:r w:rsidRPr="00452AEC">
        <w:t xml:space="preserve"> </w:t>
      </w:r>
      <w:r w:rsidR="00C67540">
        <w:t>DOI:</w:t>
      </w:r>
      <w:r>
        <w:t>10.2903/j.efsa.2012.s1007</w:t>
      </w:r>
    </w:p>
    <w:p w14:paraId="38E5FE5C" w14:textId="77777777" w:rsidR="007731C0" w:rsidRDefault="00D10255" w:rsidP="001E3009">
      <w:pPr>
        <w:spacing w:after="0" w:line="480" w:lineRule="auto"/>
      </w:pPr>
      <w:r w:rsidRPr="00D10255">
        <w:t xml:space="preserve">EFSA, 2016. Recent developments in the risk assessment of chemicals in food and their potential </w:t>
      </w:r>
    </w:p>
    <w:p w14:paraId="7694230F" w14:textId="7CB976B0" w:rsidR="00D10255" w:rsidRDefault="00D10255" w:rsidP="007731C0">
      <w:pPr>
        <w:spacing w:after="0" w:line="480" w:lineRule="auto"/>
        <w:ind w:left="720"/>
      </w:pPr>
      <w:r w:rsidRPr="00D10255">
        <w:t>impact on the safety assessment of substances used in food</w:t>
      </w:r>
      <w:r>
        <w:t xml:space="preserve"> contact materials. EFSA J</w:t>
      </w:r>
      <w:r w:rsidRPr="00D10255">
        <w:t>. 14(1)</w:t>
      </w:r>
      <w:r>
        <w:t>:</w:t>
      </w:r>
      <w:r w:rsidRPr="00D10255">
        <w:t>4357.</w:t>
      </w:r>
      <w:r w:rsidR="007731C0">
        <w:t xml:space="preserve"> DOI: </w:t>
      </w:r>
      <w:r w:rsidR="007731C0" w:rsidRPr="007731C0">
        <w:t>10.2903/j.efsa.2016.4357</w:t>
      </w:r>
    </w:p>
    <w:p w14:paraId="7B9CC5ED" w14:textId="422A02E6" w:rsidR="001E3009" w:rsidRDefault="001E3009" w:rsidP="001E3009">
      <w:pPr>
        <w:spacing w:after="0" w:line="480" w:lineRule="auto"/>
      </w:pPr>
      <w:r>
        <w:t>European Commission, 2016a</w:t>
      </w:r>
      <w:r w:rsidRPr="00EA5046">
        <w:t xml:space="preserve">. Rapid Alert System in Food and Feed. Available from: </w:t>
      </w:r>
    </w:p>
    <w:p w14:paraId="704E4F84" w14:textId="77777777" w:rsidR="001E3009" w:rsidRPr="001E3009" w:rsidRDefault="001E3009" w:rsidP="001E3009">
      <w:pPr>
        <w:spacing w:after="0" w:line="480" w:lineRule="auto"/>
        <w:jc w:val="both"/>
        <w:rPr>
          <w:rStyle w:val="Hyperlink"/>
          <w:color w:val="auto"/>
          <w:u w:val="none"/>
        </w:rPr>
      </w:pPr>
      <w:r>
        <w:tab/>
      </w:r>
      <w:hyperlink r:id="rId24" w:history="1">
        <w:r w:rsidRPr="001E3009">
          <w:rPr>
            <w:rStyle w:val="Hyperlink"/>
            <w:color w:val="auto"/>
            <w:u w:val="none"/>
          </w:rPr>
          <w:t>http://ec.europa.eu/food/safety/rasff/portal/index_en.htm</w:t>
        </w:r>
      </w:hyperlink>
    </w:p>
    <w:p w14:paraId="6C838DF5" w14:textId="60BE1236" w:rsidR="001E3009" w:rsidRPr="001E3009" w:rsidRDefault="001E3009" w:rsidP="001E3009">
      <w:pPr>
        <w:spacing w:after="0" w:line="480" w:lineRule="auto"/>
        <w:jc w:val="both"/>
        <w:rPr>
          <w:rStyle w:val="Hyperlink"/>
          <w:color w:val="auto"/>
          <w:u w:val="none"/>
          <w:lang w:val="it-IT"/>
        </w:rPr>
      </w:pPr>
      <w:r w:rsidRPr="001E3009">
        <w:t>European Commission</w:t>
      </w:r>
      <w:r>
        <w:t>, 2016b</w:t>
      </w:r>
      <w:r w:rsidRPr="001E3009">
        <w:t xml:space="preserve">. Toxtree software. Available from: </w:t>
      </w:r>
      <w:hyperlink r:id="rId25" w:history="1">
        <w:r w:rsidRPr="001E3009">
          <w:rPr>
            <w:rStyle w:val="Hyperlink"/>
            <w:color w:val="auto"/>
            <w:u w:val="none"/>
            <w:lang w:val="it-IT"/>
          </w:rPr>
          <w:t>http://toxtree.sourceforge.net/</w:t>
        </w:r>
      </w:hyperlink>
    </w:p>
    <w:p w14:paraId="1DAE47E6" w14:textId="77777777" w:rsidR="00330E69" w:rsidRDefault="00330E69" w:rsidP="001E3009">
      <w:pPr>
        <w:spacing w:after="0" w:line="480" w:lineRule="auto"/>
      </w:pPr>
      <w:r>
        <w:t xml:space="preserve">European Parliament, 2016. </w:t>
      </w:r>
      <w:r w:rsidRPr="00330E69">
        <w:t xml:space="preserve">Food Contact Materials - How to Ensure Food Safety and Technological </w:t>
      </w:r>
    </w:p>
    <w:p w14:paraId="3EE1476F" w14:textId="14AEFCAB" w:rsidR="00330E69" w:rsidRDefault="00330E69" w:rsidP="00330E69">
      <w:pPr>
        <w:spacing w:after="0" w:line="480" w:lineRule="auto"/>
        <w:ind w:left="720"/>
      </w:pPr>
      <w:r w:rsidRPr="00330E69">
        <w:t>Innovation in the Future?</w:t>
      </w:r>
      <w:r>
        <w:t xml:space="preserve"> Available from: h</w:t>
      </w:r>
      <w:r w:rsidRPr="00330E69">
        <w:t>ttp://www.europarl.europa.eu/RegData/etudes/STUD/2016/578967/IPOL_STU(2016)578967_EN.pdf</w:t>
      </w:r>
    </w:p>
    <w:p w14:paraId="5099F203" w14:textId="0DE9E425" w:rsidR="008B59A3" w:rsidRPr="00C1748B" w:rsidRDefault="008B59A3" w:rsidP="001E3009">
      <w:pPr>
        <w:spacing w:after="0" w:line="480" w:lineRule="auto"/>
      </w:pPr>
      <w:r w:rsidRPr="00C1748B">
        <w:t xml:space="preserve">European Union, 2011. Regulation (EC) No 10/2011 of the European Parliament and of the Council of </w:t>
      </w:r>
    </w:p>
    <w:p w14:paraId="3CE64DA2" w14:textId="77777777" w:rsidR="008B59A3" w:rsidRPr="00C1748B" w:rsidRDefault="008B59A3" w:rsidP="008B59A3">
      <w:pPr>
        <w:spacing w:after="0" w:line="480" w:lineRule="auto"/>
        <w:ind w:left="720"/>
        <w:rPr>
          <w:color w:val="0000FF" w:themeColor="hyperlink"/>
          <w:u w:val="single"/>
        </w:rPr>
      </w:pPr>
      <w:r w:rsidRPr="00C1748B">
        <w:t xml:space="preserve">14 January 2011 on plastic materials and articles intended to come into contact with food. Off. J. Eur. Union L12, 1-138. </w:t>
      </w:r>
    </w:p>
    <w:p w14:paraId="25774248" w14:textId="4F9A0F66" w:rsidR="005128D6" w:rsidRPr="00D75B80" w:rsidRDefault="005128D6" w:rsidP="005128D6">
      <w:pPr>
        <w:pStyle w:val="CVNormal"/>
        <w:spacing w:line="480" w:lineRule="auto"/>
        <w:ind w:left="0" w:right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Ferrari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Cattaneo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Gini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G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Golbamaki Bakhtyari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N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Manganaro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.,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Benfenati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E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="00BA6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2013.</w:t>
      </w:r>
    </w:p>
    <w:p w14:paraId="6B367FF2" w14:textId="60ADEBBB" w:rsidR="005128D6" w:rsidRPr="00BA6834" w:rsidRDefault="005128D6" w:rsidP="005128D6">
      <w:pPr>
        <w:pStyle w:val="CVNormal"/>
        <w:spacing w:line="480" w:lineRule="auto"/>
        <w:ind w:left="720" w:right="0"/>
        <w:jc w:val="both"/>
        <w:rPr>
          <w:lang w:val="fr-FR"/>
        </w:rPr>
      </w:pPr>
      <w:r w:rsidRPr="00D75B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Automatic knowledge extraction from chemical structures: the case of mutagenicity prediction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 w:rsidR="00BA6834" w:rsidRPr="008D0258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SAR QSAR Environ. Res.</w:t>
      </w:r>
      <w:r w:rsidRPr="008D0258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24, 365-383.</w:t>
      </w:r>
      <w:r w:rsidR="00907A05" w:rsidRPr="008D0258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</w:t>
      </w:r>
      <w:r w:rsidR="00907A05" w:rsidRPr="00BA683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DOI:10.1080/1062936X.2013.773376</w:t>
      </w:r>
    </w:p>
    <w:p w14:paraId="7650FF01" w14:textId="644D9B83" w:rsidR="005128D6" w:rsidRDefault="005128D6" w:rsidP="005128D6">
      <w:pPr>
        <w:spacing w:after="0" w:line="480" w:lineRule="auto"/>
      </w:pPr>
      <w:r w:rsidRPr="00BA6834">
        <w:rPr>
          <w:lang w:val="fr-FR"/>
        </w:rPr>
        <w:t>Ferrari, T., Gini, G.</w:t>
      </w:r>
      <w:r w:rsidR="00BA6834" w:rsidRPr="00BA6834">
        <w:rPr>
          <w:lang w:val="fr-FR"/>
        </w:rPr>
        <w:t>,</w:t>
      </w:r>
      <w:r w:rsidRPr="00BA6834">
        <w:rPr>
          <w:lang w:val="fr-FR"/>
        </w:rPr>
        <w:t xml:space="preserve"> 2010. </w:t>
      </w:r>
      <w:r>
        <w:t xml:space="preserve">An open source multistep model to predict mutagenicity from statistical </w:t>
      </w:r>
    </w:p>
    <w:p w14:paraId="24D7652C" w14:textId="699CF66E" w:rsidR="005128D6" w:rsidRDefault="005128D6" w:rsidP="005128D6">
      <w:pPr>
        <w:spacing w:after="0" w:line="480" w:lineRule="auto"/>
        <w:ind w:left="720"/>
      </w:pPr>
      <w:r>
        <w:t>analysis and relevant structural alerts. Chemistry</w:t>
      </w:r>
      <w:r w:rsidR="00907A05">
        <w:t xml:space="preserve"> Central Journal, 4 (Suppl. 1):S</w:t>
      </w:r>
      <w:r>
        <w:t>2. DOI:</w:t>
      </w:r>
      <w:r w:rsidRPr="005128D6">
        <w:t>10.1186/1752-153X-4-S1-S2</w:t>
      </w:r>
    </w:p>
    <w:p w14:paraId="6A3D12F2" w14:textId="77777777" w:rsidR="007F0C6B" w:rsidRDefault="007F0C6B" w:rsidP="007F0C6B">
      <w:pPr>
        <w:spacing w:after="0" w:line="480" w:lineRule="auto"/>
      </w:pPr>
      <w:r>
        <w:t>Hearty, A., Gibney, M.J., Vin, K., LeClercq, C., Castle, L., O’Mahony, C., Oldring, P. K. T.,</w:t>
      </w:r>
    </w:p>
    <w:p w14:paraId="440CB89D" w14:textId="1053DA2B" w:rsidR="007F0C6B" w:rsidRDefault="007F0C6B" w:rsidP="007F0C6B">
      <w:pPr>
        <w:spacing w:after="0" w:line="480" w:lineRule="auto"/>
        <w:ind w:firstLine="720"/>
      </w:pPr>
      <w:r>
        <w:t>Volatier, J. L., Mckevitt, A., Tennant, D., McCamara, C., Kettlitz, B.</w:t>
      </w:r>
      <w:r w:rsidR="00BA6834">
        <w:t>,</w:t>
      </w:r>
      <w:r>
        <w:t xml:space="preserve"> 2011. The FACET</w:t>
      </w:r>
    </w:p>
    <w:p w14:paraId="757FD1CE" w14:textId="0FFF2409" w:rsidR="007F0C6B" w:rsidRDefault="007F0C6B" w:rsidP="007F0C6B">
      <w:pPr>
        <w:spacing w:after="0" w:line="480" w:lineRule="auto"/>
        <w:ind w:firstLine="720"/>
      </w:pPr>
      <w:r>
        <w:t>project: a chemical exposure surveillance system for Europe. Food Sci</w:t>
      </w:r>
      <w:r w:rsidR="00BA6834">
        <w:t>. Technol.</w:t>
      </w:r>
      <w:r>
        <w:t xml:space="preserve"> 25, 26-29</w:t>
      </w:r>
      <w:r w:rsidR="00C67540">
        <w:t xml:space="preserve">. </w:t>
      </w:r>
    </w:p>
    <w:p w14:paraId="43A0C7FE" w14:textId="77777777" w:rsidR="008B59A3" w:rsidRDefault="008B59A3" w:rsidP="007F0C6B">
      <w:pPr>
        <w:spacing w:after="0" w:line="480" w:lineRule="auto"/>
      </w:pPr>
      <w:r>
        <w:t>ICH, 2014. Assessment and control of DNA Reactive (mutagenic) i</w:t>
      </w:r>
      <w:r w:rsidRPr="0019108E">
        <w:t xml:space="preserve">mpurities in </w:t>
      </w:r>
      <w:r>
        <w:t>pharmaceuticals to</w:t>
      </w:r>
    </w:p>
    <w:p w14:paraId="0A25345E" w14:textId="77777777" w:rsidR="008B59A3" w:rsidRDefault="008B59A3" w:rsidP="008B59A3">
      <w:pPr>
        <w:spacing w:after="0" w:line="480" w:lineRule="auto"/>
        <w:ind w:firstLine="720"/>
      </w:pPr>
      <w:r>
        <w:t>l</w:t>
      </w:r>
      <w:r w:rsidRPr="0019108E">
        <w:t xml:space="preserve">imit </w:t>
      </w:r>
      <w:r>
        <w:t>p</w:t>
      </w:r>
      <w:r w:rsidRPr="0019108E">
        <w:t xml:space="preserve">otential </w:t>
      </w:r>
      <w:r>
        <w:t>c</w:t>
      </w:r>
      <w:r w:rsidRPr="0019108E">
        <w:t xml:space="preserve">arcinogenic </w:t>
      </w:r>
      <w:r>
        <w:t>r</w:t>
      </w:r>
      <w:r w:rsidRPr="0019108E">
        <w:t>isk</w:t>
      </w:r>
      <w:r>
        <w:t xml:space="preserve">. Adopted by CHMP, issued as </w:t>
      </w:r>
      <w:r w:rsidRPr="001F2EF6">
        <w:t>EMA/CHMP/ICH/83812/2013</w:t>
      </w:r>
      <w:r>
        <w:t>.</w:t>
      </w:r>
    </w:p>
    <w:p w14:paraId="1FD95E17" w14:textId="77777777" w:rsidR="00B64772" w:rsidRDefault="0043760C" w:rsidP="0043760C">
      <w:pPr>
        <w:spacing w:after="0" w:line="480" w:lineRule="auto"/>
        <w:rPr>
          <w:lang w:val="it-IT"/>
        </w:rPr>
      </w:pPr>
      <w:r>
        <w:rPr>
          <w:lang w:val="it-IT"/>
        </w:rPr>
        <w:t>IRFMN</w:t>
      </w:r>
      <w:r w:rsidR="0004578A" w:rsidRPr="00754F54">
        <w:rPr>
          <w:lang w:val="it-IT"/>
        </w:rPr>
        <w:t xml:space="preserve">, </w:t>
      </w:r>
      <w:r w:rsidR="0004578A">
        <w:rPr>
          <w:lang w:val="it-IT"/>
        </w:rPr>
        <w:t>2016</w:t>
      </w:r>
      <w:r w:rsidR="001E3009">
        <w:rPr>
          <w:lang w:val="it-IT"/>
        </w:rPr>
        <w:t>a</w:t>
      </w:r>
      <w:r w:rsidR="0004578A" w:rsidRPr="00754F54">
        <w:rPr>
          <w:lang w:val="it-IT"/>
        </w:rPr>
        <w:t xml:space="preserve">. </w:t>
      </w:r>
      <w:r w:rsidR="00B64772">
        <w:rPr>
          <w:lang w:val="it-IT"/>
        </w:rPr>
        <w:t>VEGA s</w:t>
      </w:r>
      <w:r w:rsidR="00B64772" w:rsidRPr="0043760C">
        <w:rPr>
          <w:lang w:val="it-IT"/>
        </w:rPr>
        <w:t>oftware</w:t>
      </w:r>
      <w:r w:rsidR="00B64772">
        <w:rPr>
          <w:lang w:val="it-IT"/>
        </w:rPr>
        <w:t>. A</w:t>
      </w:r>
      <w:r w:rsidR="00B64772" w:rsidRPr="0043760C">
        <w:rPr>
          <w:lang w:val="it-IT"/>
        </w:rPr>
        <w:t>vailable</w:t>
      </w:r>
      <w:r w:rsidR="00B64772">
        <w:rPr>
          <w:lang w:val="it-IT"/>
        </w:rPr>
        <w:t xml:space="preserve"> </w:t>
      </w:r>
      <w:r w:rsidR="00B64772" w:rsidRPr="0043760C">
        <w:rPr>
          <w:lang w:val="it-IT"/>
        </w:rPr>
        <w:t xml:space="preserve">from: http://www.vega-qsar.eu/ </w:t>
      </w:r>
    </w:p>
    <w:p w14:paraId="22F18450" w14:textId="77777777" w:rsidR="00B64772" w:rsidRDefault="0043760C" w:rsidP="00B64772">
      <w:pPr>
        <w:spacing w:after="0" w:line="480" w:lineRule="auto"/>
        <w:rPr>
          <w:rStyle w:val="Hyperlink"/>
        </w:rPr>
      </w:pPr>
      <w:r>
        <w:rPr>
          <w:lang w:val="it-IT"/>
        </w:rPr>
        <w:lastRenderedPageBreak/>
        <w:t>IRFMN, 2016</w:t>
      </w:r>
      <w:r w:rsidR="001E3009">
        <w:rPr>
          <w:lang w:val="it-IT"/>
        </w:rPr>
        <w:t>b</w:t>
      </w:r>
      <w:r>
        <w:rPr>
          <w:lang w:val="it-IT"/>
        </w:rPr>
        <w:t xml:space="preserve">. </w:t>
      </w:r>
      <w:r w:rsidR="00B64772">
        <w:rPr>
          <w:lang w:val="it-IT"/>
        </w:rPr>
        <w:t>CORAL s</w:t>
      </w:r>
      <w:r w:rsidR="00B64772">
        <w:t>oftware. Available from:</w:t>
      </w:r>
      <w:r w:rsidR="00B64772" w:rsidRPr="0043760C">
        <w:t xml:space="preserve"> </w:t>
      </w:r>
      <w:hyperlink r:id="rId26" w:history="1">
        <w:r w:rsidR="00B64772" w:rsidRPr="0043760C">
          <w:rPr>
            <w:rStyle w:val="Hyperlink"/>
            <w:color w:val="auto"/>
            <w:u w:val="none"/>
          </w:rPr>
          <w:t>http://www.insilico.eu/coral/</w:t>
        </w:r>
      </w:hyperlink>
    </w:p>
    <w:p w14:paraId="5056AC80" w14:textId="2D72AEC3" w:rsidR="008B59A3" w:rsidRDefault="008B59A3" w:rsidP="0043760C">
      <w:pPr>
        <w:spacing w:after="0" w:line="480" w:lineRule="auto"/>
      </w:pPr>
      <w:r w:rsidRPr="00754F54">
        <w:rPr>
          <w:lang w:val="it-IT"/>
        </w:rPr>
        <w:t xml:space="preserve">Kamath, P., Raitano, G., Fernández, A., Rallo, R., Benfenati, E., 2015. </w:t>
      </w:r>
      <w:r>
        <w:t>In silico exploratory study using</w:t>
      </w:r>
    </w:p>
    <w:p w14:paraId="282486BD" w14:textId="77777777" w:rsidR="008B59A3" w:rsidRDefault="008B59A3" w:rsidP="008B59A3">
      <w:pPr>
        <w:spacing w:after="0" w:line="480" w:lineRule="auto"/>
        <w:ind w:left="720"/>
      </w:pPr>
      <w:r>
        <w:t xml:space="preserve">structure–activity relationship models and metabolic information for prediction of mutagenicity based on the Ames test and rodent micronucleus assay. SAR QSAR Environ. Res. </w:t>
      </w:r>
      <w:r w:rsidRPr="00C21A6C">
        <w:t>12</w:t>
      </w:r>
      <w:r>
        <w:t xml:space="preserve">, </w:t>
      </w:r>
      <w:r w:rsidRPr="00C21A6C">
        <w:t>1017-1031</w:t>
      </w:r>
      <w:r>
        <w:t xml:space="preserve">. </w:t>
      </w:r>
      <w:r w:rsidR="00C67540">
        <w:t>DOI:</w:t>
      </w:r>
      <w:r w:rsidRPr="00C21A6C">
        <w:t>10.1080/1062936X.2015.1108932</w:t>
      </w:r>
    </w:p>
    <w:p w14:paraId="1C51CB24" w14:textId="77777777" w:rsidR="008B59A3" w:rsidRDefault="008B59A3" w:rsidP="008B59A3">
      <w:pPr>
        <w:spacing w:after="0" w:line="480" w:lineRule="auto"/>
      </w:pPr>
      <w:r w:rsidRPr="00AC2A66">
        <w:t>Lago</w:t>
      </w:r>
      <w:r>
        <w:t>,</w:t>
      </w:r>
      <w:r w:rsidRPr="00D46561">
        <w:t xml:space="preserve"> </w:t>
      </w:r>
      <w:r>
        <w:t xml:space="preserve">M.A., Rodríguez-Bernaldo de Quirós, A., Sendón, R., </w:t>
      </w:r>
      <w:r w:rsidRPr="00D46561">
        <w:t xml:space="preserve">Bustos, J., Nieto, M.T., Paseiro, P., 2015. </w:t>
      </w:r>
    </w:p>
    <w:p w14:paraId="08EAECB0" w14:textId="77777777" w:rsidR="008B59A3" w:rsidRPr="008B59A3" w:rsidRDefault="008B59A3" w:rsidP="008B59A3">
      <w:pPr>
        <w:spacing w:after="0" w:line="480" w:lineRule="auto"/>
        <w:ind w:left="720"/>
      </w:pPr>
      <w:r w:rsidRPr="00AC2A66">
        <w:t>Photoinitiators: a food safety review</w:t>
      </w:r>
      <w:r>
        <w:t>. Food Addit. Contam. Part A. Chem. Anal. Control Expo. Risk Assess. 32:5, 779-798.</w:t>
      </w:r>
      <w:r w:rsidRPr="00AC2A66">
        <w:t xml:space="preserve"> </w:t>
      </w:r>
      <w:r w:rsidRPr="008B59A3">
        <w:t>DOI:10.1080/19440049.2015.1014866</w:t>
      </w:r>
    </w:p>
    <w:p w14:paraId="791044A2" w14:textId="77777777" w:rsidR="00F45A6F" w:rsidRPr="00F45A6F" w:rsidRDefault="00F45A6F" w:rsidP="00F45A6F">
      <w:pPr>
        <w:spacing w:after="0" w:line="480" w:lineRule="auto"/>
        <w:rPr>
          <w:lang w:val="fr-FR"/>
        </w:rPr>
      </w:pPr>
      <w:r>
        <w:t xml:space="preserve">Lhasa Limited, 2016a. Derek Nexus® software. </w:t>
      </w:r>
      <w:r w:rsidRPr="00F45A6F">
        <w:rPr>
          <w:lang w:val="fr-FR"/>
        </w:rPr>
        <w:t>Available from:</w:t>
      </w:r>
    </w:p>
    <w:p w14:paraId="0026058C" w14:textId="77777777" w:rsidR="00F45A6F" w:rsidRPr="00F45A6F" w:rsidRDefault="00F45A6F" w:rsidP="00F45A6F">
      <w:pPr>
        <w:spacing w:after="0" w:line="480" w:lineRule="auto"/>
        <w:ind w:firstLine="720"/>
        <w:rPr>
          <w:lang w:val="fr-FR"/>
        </w:rPr>
      </w:pPr>
      <w:r w:rsidRPr="00F45A6F">
        <w:rPr>
          <w:lang w:val="fr-FR"/>
        </w:rPr>
        <w:t xml:space="preserve">http://www.lhasalimited.org/products/derek-nexus.htm </w:t>
      </w:r>
    </w:p>
    <w:p w14:paraId="4DAF87BA" w14:textId="77777777" w:rsidR="00F45A6F" w:rsidRDefault="00F45A6F" w:rsidP="00F45A6F">
      <w:pPr>
        <w:spacing w:after="0" w:line="480" w:lineRule="auto"/>
      </w:pPr>
      <w:r>
        <w:t xml:space="preserve">Lhasa Limited, 2016b. Sarah Nexus® software. Available from: </w:t>
      </w:r>
    </w:p>
    <w:p w14:paraId="539A6789" w14:textId="77777777" w:rsidR="00F45A6F" w:rsidRPr="00F45A6F" w:rsidRDefault="00F45A6F" w:rsidP="00F45A6F">
      <w:pPr>
        <w:spacing w:after="0" w:line="480" w:lineRule="auto"/>
      </w:pPr>
      <w:r>
        <w:tab/>
      </w:r>
      <w:r w:rsidRPr="00F45A6F">
        <w:t>http://www.lhasalimited.org/products/sarah-nexus.htm</w:t>
      </w:r>
    </w:p>
    <w:p w14:paraId="3786CFCA" w14:textId="6582E628" w:rsidR="008B59A3" w:rsidRDefault="008B59A3" w:rsidP="00F45A6F">
      <w:pPr>
        <w:spacing w:after="0" w:line="480" w:lineRule="auto"/>
      </w:pPr>
      <w:r w:rsidRPr="00F45A6F">
        <w:rPr>
          <w:lang w:val="fr-FR"/>
        </w:rPr>
        <w:t xml:space="preserve">Liu, R., Lin, Y., Hu, F., Liu, R., Ruan, T., Jiang, G., 2016. </w:t>
      </w:r>
      <w:r>
        <w:t>Observation of emerging photoinitiator</w:t>
      </w:r>
    </w:p>
    <w:p w14:paraId="49DE4688" w14:textId="77777777" w:rsidR="008B59A3" w:rsidRPr="00253047" w:rsidRDefault="008B59A3" w:rsidP="008B59A3">
      <w:pPr>
        <w:spacing w:after="0" w:line="480" w:lineRule="auto"/>
        <w:ind w:firstLine="720"/>
        <w:rPr>
          <w:lang w:val="fr-FR"/>
        </w:rPr>
      </w:pPr>
      <w:r>
        <w:t>additives in household environment and sewage s</w:t>
      </w:r>
      <w:r w:rsidRPr="00340F3F">
        <w:t>ludge in China.</w:t>
      </w:r>
      <w:r>
        <w:t xml:space="preserve"> </w:t>
      </w:r>
      <w:r w:rsidRPr="00253047">
        <w:rPr>
          <w:lang w:val="fr-FR"/>
        </w:rPr>
        <w:t>Environ. Sci. Technol. 50,</w:t>
      </w:r>
    </w:p>
    <w:p w14:paraId="6F44BA8D" w14:textId="77777777" w:rsidR="008B59A3" w:rsidRPr="00253047" w:rsidRDefault="008B59A3" w:rsidP="008B59A3">
      <w:pPr>
        <w:spacing w:after="0" w:line="480" w:lineRule="auto"/>
        <w:ind w:firstLine="720"/>
        <w:rPr>
          <w:lang w:val="fr-FR"/>
        </w:rPr>
      </w:pPr>
      <w:r w:rsidRPr="00253047">
        <w:rPr>
          <w:lang w:val="fr-FR"/>
        </w:rPr>
        <w:t>97-104. DOI:10.1021/acs.est.5b04977</w:t>
      </w:r>
    </w:p>
    <w:p w14:paraId="3AB5A9AF" w14:textId="77777777" w:rsidR="002109B6" w:rsidRPr="002109B6" w:rsidRDefault="002109B6" w:rsidP="001F5CF8">
      <w:r w:rsidRPr="00754F54">
        <w:rPr>
          <w:lang w:val="it-IT"/>
        </w:rPr>
        <w:t xml:space="preserve">Manganaro, A., Pizzo, F., Lombardo, A., Pogliaghi, A. and Benfenati, E., 2015. </w:t>
      </w:r>
      <w:r w:rsidRPr="002109B6">
        <w:t>Predicting</w:t>
      </w:r>
    </w:p>
    <w:p w14:paraId="663B7F28" w14:textId="77777777" w:rsidR="002109B6" w:rsidRPr="00D20E63" w:rsidRDefault="002109B6" w:rsidP="002109B6">
      <w:pPr>
        <w:spacing w:after="0" w:line="480" w:lineRule="auto"/>
        <w:ind w:left="720"/>
      </w:pPr>
      <w:r w:rsidRPr="002109B6">
        <w:t>persistence in the sediment compartment with a new automatic software based on the k-Nearest</w:t>
      </w:r>
      <w:r>
        <w:t xml:space="preserve"> </w:t>
      </w:r>
      <w:r w:rsidRPr="002109B6">
        <w:t xml:space="preserve">Neighbor (k-NN) algorithm. </w:t>
      </w:r>
      <w:r w:rsidRPr="00754F54">
        <w:rPr>
          <w:lang w:val="it-IT"/>
        </w:rPr>
        <w:t xml:space="preserve">Chemosphere. </w:t>
      </w:r>
      <w:r w:rsidRPr="00D20E63">
        <w:t>144, 1624-1630. DOI:10.1016/j.chemosphere.2015.10.054</w:t>
      </w:r>
    </w:p>
    <w:p w14:paraId="138A008B" w14:textId="77777777" w:rsidR="003F3B73" w:rsidRPr="00D20E63" w:rsidRDefault="003F3B73" w:rsidP="008B59A3">
      <w:pPr>
        <w:spacing w:after="0" w:line="480" w:lineRule="auto"/>
      </w:pPr>
      <w:r w:rsidRPr="00D20E63">
        <w:t xml:space="preserve">Manganelli, S., Benfenati, E., Manganaro, A., Kulkarni, S., Barton-Maclaren, T.S., Honma, M., 2016. </w:t>
      </w:r>
    </w:p>
    <w:p w14:paraId="30439443" w14:textId="77777777" w:rsidR="003F3B73" w:rsidRPr="003F3B73" w:rsidRDefault="003F3B73" w:rsidP="003F3B73">
      <w:pPr>
        <w:spacing w:after="0" w:line="480" w:lineRule="auto"/>
        <w:ind w:left="720"/>
      </w:pPr>
      <w:r w:rsidRPr="003F3B73">
        <w:t>New quantitative structure-activity relationship models improve predictability of Ames mutagenicity for aromatic azo compounds.</w:t>
      </w:r>
      <w:r>
        <w:t xml:space="preserve"> Toxicol. Sci. </w:t>
      </w:r>
      <w:r w:rsidR="00EB705A">
        <w:t xml:space="preserve">[Epub ahead of print] </w:t>
      </w:r>
      <w:r>
        <w:t>DOI:</w:t>
      </w:r>
      <w:r w:rsidRPr="003F3B73">
        <w:t>10.1093/toxsci/kfw125</w:t>
      </w:r>
    </w:p>
    <w:p w14:paraId="2B9B97EC" w14:textId="77777777" w:rsidR="008B59A3" w:rsidRDefault="008B59A3" w:rsidP="008B59A3">
      <w:pPr>
        <w:spacing w:after="0" w:line="480" w:lineRule="auto"/>
      </w:pPr>
      <w:r>
        <w:t>Muncke, J., Myers, J.P., Scheringer, M., Porta, M., 2014. Food packaging and migration of food</w:t>
      </w:r>
    </w:p>
    <w:p w14:paraId="0B1FFA73" w14:textId="77777777" w:rsidR="008B59A3" w:rsidRPr="00C1748B" w:rsidRDefault="008B59A3" w:rsidP="008B59A3">
      <w:pPr>
        <w:spacing w:after="0" w:line="480" w:lineRule="auto"/>
        <w:ind w:left="720"/>
      </w:pPr>
      <w:r>
        <w:t xml:space="preserve">contact materials: will epidemiologists rise to the neotoxic challenge? </w:t>
      </w:r>
      <w:r w:rsidRPr="001941C6">
        <w:t>J</w:t>
      </w:r>
      <w:r>
        <w:t>.</w:t>
      </w:r>
      <w:r w:rsidRPr="001941C6">
        <w:t xml:space="preserve"> Epidemiol</w:t>
      </w:r>
      <w:r>
        <w:t>. Community Health. 0, 1–3. DOI:10.1136/jech-2013-202593</w:t>
      </w:r>
    </w:p>
    <w:p w14:paraId="69AAAC8F" w14:textId="77777777" w:rsidR="00F45A6F" w:rsidRDefault="00F45A6F" w:rsidP="00F45A6F">
      <w:pPr>
        <w:spacing w:after="0" w:line="480" w:lineRule="auto"/>
        <w:jc w:val="both"/>
      </w:pPr>
      <w:r>
        <w:lastRenderedPageBreak/>
        <w:t xml:space="preserve">National Institutes of Health, 2016a. ChemIDplus Database. Available from: </w:t>
      </w:r>
    </w:p>
    <w:p w14:paraId="53AADD90" w14:textId="77777777" w:rsidR="00F45A6F" w:rsidRDefault="00F45A6F" w:rsidP="00F45A6F">
      <w:pPr>
        <w:spacing w:after="0" w:line="480" w:lineRule="auto"/>
        <w:jc w:val="both"/>
      </w:pPr>
      <w:r>
        <w:tab/>
        <w:t xml:space="preserve">http://chem.sis.nlm.nih.gov/chemidplus/ </w:t>
      </w:r>
    </w:p>
    <w:p w14:paraId="5D02C191" w14:textId="77777777" w:rsidR="00F45A6F" w:rsidRDefault="00F45A6F" w:rsidP="00F45A6F">
      <w:pPr>
        <w:spacing w:after="0" w:line="480" w:lineRule="auto"/>
        <w:jc w:val="both"/>
      </w:pPr>
      <w:r>
        <w:t xml:space="preserve">National Institutes of Health, 2016b. PubChem Database. Available from: </w:t>
      </w:r>
    </w:p>
    <w:p w14:paraId="2A687C1B" w14:textId="77777777" w:rsidR="00F45A6F" w:rsidRPr="00F45A6F" w:rsidRDefault="00F45A6F" w:rsidP="00F45A6F">
      <w:pPr>
        <w:spacing w:after="0" w:line="480" w:lineRule="auto"/>
        <w:jc w:val="both"/>
      </w:pPr>
      <w:r>
        <w:tab/>
      </w:r>
      <w:r w:rsidRPr="00F45A6F">
        <w:t xml:space="preserve">https://pubchem.ncbi.nlm.nih.gov/ </w:t>
      </w:r>
    </w:p>
    <w:p w14:paraId="297C8F2F" w14:textId="056DF087" w:rsidR="008B59A3" w:rsidRDefault="008B59A3" w:rsidP="00F45A6F">
      <w:pPr>
        <w:spacing w:after="0" w:line="480" w:lineRule="auto"/>
        <w:jc w:val="both"/>
      </w:pPr>
      <w:r w:rsidRPr="00F45A6F">
        <w:t xml:space="preserve">OECD, 2008. </w:t>
      </w:r>
      <w:r w:rsidRPr="007024FB">
        <w:t>Test No. 471: Bacterial Reverse Mutation Test</w:t>
      </w:r>
      <w:r>
        <w:t xml:space="preserve">. </w:t>
      </w:r>
      <w:r w:rsidRPr="007024FB">
        <w:t>OECD Guideline</w:t>
      </w:r>
      <w:r>
        <w:t>s for the Testing of</w:t>
      </w:r>
    </w:p>
    <w:p w14:paraId="2A8DB8E5" w14:textId="77777777" w:rsidR="008B59A3" w:rsidRDefault="008B59A3" w:rsidP="008B59A3">
      <w:pPr>
        <w:spacing w:after="0" w:line="480" w:lineRule="auto"/>
        <w:ind w:firstLine="720"/>
        <w:jc w:val="both"/>
      </w:pPr>
      <w:r>
        <w:t xml:space="preserve"> Chemicals</w:t>
      </w:r>
      <w:r w:rsidRPr="007024FB">
        <w:t>. DOI</w:t>
      </w:r>
      <w:r w:rsidR="00645008">
        <w:t>:</w:t>
      </w:r>
      <w:r w:rsidRPr="007024FB">
        <w:t>10.1787/9789264071247-en</w:t>
      </w:r>
    </w:p>
    <w:p w14:paraId="2373A051" w14:textId="77777777" w:rsidR="00DA542B" w:rsidRDefault="00DA542B" w:rsidP="00DA542B">
      <w:pPr>
        <w:spacing w:after="0" w:line="480" w:lineRule="auto"/>
        <w:jc w:val="both"/>
      </w:pPr>
      <w:r>
        <w:t>OECD, 2014</w:t>
      </w:r>
      <w:r w:rsidRPr="00A67CA5">
        <w:t xml:space="preserve">. Guidance Document for the Validation of </w:t>
      </w:r>
      <w:r w:rsidRPr="00091FC9">
        <w:t xml:space="preserve">(Quantitative) Structure-Activity Relationship </w:t>
      </w:r>
    </w:p>
    <w:p w14:paraId="25DA1673" w14:textId="77777777" w:rsidR="00DA542B" w:rsidRPr="008D0258" w:rsidRDefault="00DA542B" w:rsidP="00DA542B">
      <w:pPr>
        <w:spacing w:after="0" w:line="480" w:lineRule="auto"/>
        <w:ind w:firstLine="720"/>
        <w:jc w:val="both"/>
      </w:pPr>
      <w:r w:rsidRPr="008D0258">
        <w:t>[(Q)SAR] Models. DOI: http://dx.doi.org/10.1787/9789264085442-en</w:t>
      </w:r>
    </w:p>
    <w:p w14:paraId="19FAF339" w14:textId="77777777" w:rsidR="008B59A3" w:rsidRDefault="008B59A3" w:rsidP="008B59A3">
      <w:pPr>
        <w:spacing w:after="0" w:line="480" w:lineRule="auto"/>
        <w:jc w:val="both"/>
      </w:pPr>
      <w:r>
        <w:t>Oldring, P.K.T., O’Mahony, C., Dixon, J., Vints, M., Mehegan, J., Dequatre, C., Castle, L., 2013.</w:t>
      </w:r>
    </w:p>
    <w:p w14:paraId="4B5196DE" w14:textId="77777777" w:rsidR="008B59A3" w:rsidRDefault="008B59A3" w:rsidP="008B59A3">
      <w:pPr>
        <w:spacing w:after="0" w:line="480" w:lineRule="auto"/>
        <w:ind w:left="720"/>
        <w:jc w:val="both"/>
      </w:pPr>
      <w:r w:rsidRPr="000062CA">
        <w:t>Development of a new modelling tool (FACET) to assess exposure to chemical migrants from food packaging</w:t>
      </w:r>
      <w:r>
        <w:t>. Food Addit. Contam. Part A Chem. Anal. Control. Expo. R</w:t>
      </w:r>
      <w:r w:rsidR="00645008">
        <w:t>isk Assess. 31:3, 444-465. DOI:</w:t>
      </w:r>
      <w:r w:rsidRPr="001C7592">
        <w:t>10.1080/19440049.2013.862348</w:t>
      </w:r>
    </w:p>
    <w:p w14:paraId="079D6A2A" w14:textId="77777777" w:rsidR="00F45A6F" w:rsidRDefault="00F45A6F" w:rsidP="00192691">
      <w:pPr>
        <w:spacing w:after="0" w:line="480" w:lineRule="auto"/>
        <w:jc w:val="both"/>
      </w:pPr>
      <w:r w:rsidRPr="00F45A6F">
        <w:t xml:space="preserve">Royal Society of Chemistry, 2016. ChemSpider Database. Available from: </w:t>
      </w:r>
    </w:p>
    <w:p w14:paraId="04683B92" w14:textId="3CFE720C" w:rsidR="00F45A6F" w:rsidRDefault="00F45A6F" w:rsidP="00192691">
      <w:pPr>
        <w:spacing w:after="0" w:line="480" w:lineRule="auto"/>
        <w:jc w:val="both"/>
      </w:pPr>
      <w:r w:rsidRPr="00F45A6F">
        <w:tab/>
        <w:t xml:space="preserve">http://www.chemspider.com/ </w:t>
      </w:r>
    </w:p>
    <w:p w14:paraId="02E87D60" w14:textId="2DC20743" w:rsidR="00192691" w:rsidRDefault="00192691" w:rsidP="00192691">
      <w:pPr>
        <w:spacing w:after="0" w:line="480" w:lineRule="auto"/>
        <w:jc w:val="both"/>
      </w:pPr>
      <w:r>
        <w:t xml:space="preserve">Serafimova, R., Gatnik, M.F., Worth, A., 2010. Review of QSAR models and software tools for </w:t>
      </w:r>
    </w:p>
    <w:p w14:paraId="2C1E7E27" w14:textId="77777777" w:rsidR="00192691" w:rsidRDefault="00192691" w:rsidP="00192691">
      <w:pPr>
        <w:spacing w:after="0" w:line="480" w:lineRule="auto"/>
        <w:ind w:left="720"/>
        <w:jc w:val="both"/>
      </w:pPr>
      <w:r>
        <w:t>predicting genotoxicity and carcinogenicity. JRC Scienti</w:t>
      </w:r>
      <w:r w:rsidR="00645008">
        <w:t>fic and Technical Reports. DOI:</w:t>
      </w:r>
      <w:r w:rsidRPr="00192691">
        <w:t>10.2788/26123</w:t>
      </w:r>
    </w:p>
    <w:p w14:paraId="28DA7371" w14:textId="77777777" w:rsidR="008B59A3" w:rsidRDefault="008B59A3" w:rsidP="008B59A3">
      <w:pPr>
        <w:spacing w:after="0" w:line="480" w:lineRule="auto"/>
        <w:jc w:val="both"/>
      </w:pPr>
      <w:r>
        <w:t xml:space="preserve">University College Dublin, 2012. FACET Project Consortium Partners. Available from: </w:t>
      </w:r>
    </w:p>
    <w:p w14:paraId="5F8B754A" w14:textId="77777777" w:rsidR="008B59A3" w:rsidRDefault="008B59A3" w:rsidP="008B59A3">
      <w:pPr>
        <w:spacing w:after="0" w:line="480" w:lineRule="auto"/>
        <w:ind w:firstLine="720"/>
        <w:jc w:val="both"/>
      </w:pPr>
      <w:r w:rsidRPr="000062CA">
        <w:t>http://www.ucd.ie/facet/projectconsortium/partner4cepebelgium/</w:t>
      </w:r>
    </w:p>
    <w:p w14:paraId="041F7D6A" w14:textId="77777777" w:rsidR="00A239BA" w:rsidRPr="00A239BA" w:rsidRDefault="00A239BA" w:rsidP="008B59A3">
      <w:pPr>
        <w:spacing w:after="0" w:line="480" w:lineRule="auto"/>
        <w:jc w:val="both"/>
      </w:pPr>
      <w:r w:rsidRPr="00A239BA">
        <w:rPr>
          <w:lang w:val="nl-NL"/>
        </w:rPr>
        <w:t>Van Bossuyt, M., Van Hoeck, E.,</w:t>
      </w:r>
      <w:r>
        <w:rPr>
          <w:lang w:val="nl-NL"/>
        </w:rPr>
        <w:t xml:space="preserve"> Vanhaecke, T., Rogiers, V., Mertens, B., 2016. </w:t>
      </w:r>
      <w:r w:rsidRPr="00A239BA">
        <w:t xml:space="preserve">Printed paper and </w:t>
      </w:r>
    </w:p>
    <w:p w14:paraId="471B03B4" w14:textId="77777777" w:rsidR="00A239BA" w:rsidRPr="00A239BA" w:rsidRDefault="00A239BA" w:rsidP="00A239BA">
      <w:pPr>
        <w:spacing w:after="0" w:line="480" w:lineRule="auto"/>
        <w:ind w:left="720"/>
        <w:jc w:val="both"/>
      </w:pPr>
      <w:r w:rsidRPr="00A239BA">
        <w:t xml:space="preserve">board food contact materials as a </w:t>
      </w:r>
      <w:r>
        <w:t xml:space="preserve">potential source of food contamination. Regul. Tox. Pharm. </w:t>
      </w:r>
      <w:r w:rsidR="00645008" w:rsidRPr="00645008">
        <w:t>8</w:t>
      </w:r>
      <w:r w:rsidR="00645008">
        <w:t>1</w:t>
      </w:r>
      <w:r w:rsidR="00645008" w:rsidRPr="00645008">
        <w:t>, 10-19</w:t>
      </w:r>
      <w:r w:rsidRPr="00645008">
        <w:t>.</w:t>
      </w:r>
      <w:r w:rsidR="00645008">
        <w:t xml:space="preserve"> DOI:</w:t>
      </w:r>
      <w:r w:rsidRPr="00A239BA">
        <w:t>10.1016/j.yrtph.2016.06.025</w:t>
      </w:r>
    </w:p>
    <w:p w14:paraId="7269F312" w14:textId="77777777" w:rsidR="008B59A3" w:rsidRDefault="008B59A3" w:rsidP="008B59A3">
      <w:pPr>
        <w:spacing w:after="0" w:line="480" w:lineRule="auto"/>
        <w:jc w:val="both"/>
      </w:pPr>
      <w:r>
        <w:t xml:space="preserve">Williams, R.V., </w:t>
      </w:r>
      <w:r w:rsidRPr="00583A6D">
        <w:t>Amberg</w:t>
      </w:r>
      <w:r>
        <w:t>,</w:t>
      </w:r>
      <w:r w:rsidRPr="00583A6D">
        <w:t xml:space="preserve"> A</w:t>
      </w:r>
      <w:r>
        <w:t>.,</w:t>
      </w:r>
      <w:r w:rsidRPr="00583A6D">
        <w:t xml:space="preserve"> Brigo</w:t>
      </w:r>
      <w:r>
        <w:t>,</w:t>
      </w:r>
      <w:r w:rsidRPr="00583A6D">
        <w:t xml:space="preserve"> A</w:t>
      </w:r>
      <w:r>
        <w:t>.,</w:t>
      </w:r>
      <w:r w:rsidRPr="00583A6D">
        <w:t xml:space="preserve"> Coquin</w:t>
      </w:r>
      <w:r>
        <w:t>,</w:t>
      </w:r>
      <w:r w:rsidRPr="00583A6D">
        <w:t xml:space="preserve"> L</w:t>
      </w:r>
      <w:r>
        <w:t>.,</w:t>
      </w:r>
      <w:r w:rsidRPr="00583A6D">
        <w:t xml:space="preserve"> Giddings</w:t>
      </w:r>
      <w:r>
        <w:t>,</w:t>
      </w:r>
      <w:r w:rsidRPr="00583A6D">
        <w:t xml:space="preserve"> A</w:t>
      </w:r>
      <w:r>
        <w:t>.,</w:t>
      </w:r>
      <w:r w:rsidRPr="00583A6D">
        <w:t xml:space="preserve"> Glowienke</w:t>
      </w:r>
      <w:r>
        <w:t>,</w:t>
      </w:r>
      <w:r w:rsidRPr="00583A6D">
        <w:t xml:space="preserve"> S</w:t>
      </w:r>
      <w:r>
        <w:t>.,</w:t>
      </w:r>
      <w:r w:rsidRPr="00583A6D">
        <w:t xml:space="preserve"> Greene</w:t>
      </w:r>
      <w:r>
        <w:t>,</w:t>
      </w:r>
      <w:r w:rsidRPr="00583A6D">
        <w:t xml:space="preserve"> N</w:t>
      </w:r>
      <w:r>
        <w:t>.,</w:t>
      </w:r>
      <w:r w:rsidRPr="00583A6D">
        <w:t xml:space="preserve"> Jolly</w:t>
      </w:r>
      <w:r>
        <w:t>,</w:t>
      </w:r>
      <w:r w:rsidRPr="00583A6D">
        <w:t xml:space="preserve"> R</w:t>
      </w:r>
      <w:r>
        <w:t>.,</w:t>
      </w:r>
      <w:r w:rsidRPr="00583A6D">
        <w:t xml:space="preserve"> </w:t>
      </w:r>
    </w:p>
    <w:p w14:paraId="659EDBD8" w14:textId="77777777" w:rsidR="008B59A3" w:rsidRDefault="008B59A3" w:rsidP="008B59A3">
      <w:pPr>
        <w:spacing w:after="0" w:line="480" w:lineRule="auto"/>
        <w:jc w:val="both"/>
      </w:pPr>
      <w:r>
        <w:tab/>
      </w:r>
      <w:r w:rsidRPr="00583A6D">
        <w:t>Kemper</w:t>
      </w:r>
      <w:r>
        <w:t>,</w:t>
      </w:r>
      <w:r w:rsidRPr="00583A6D">
        <w:t xml:space="preserve"> R</w:t>
      </w:r>
      <w:r>
        <w:t>.,</w:t>
      </w:r>
      <w:r w:rsidRPr="00583A6D">
        <w:t xml:space="preserve"> O'Leary-Steele</w:t>
      </w:r>
      <w:r>
        <w:t>,</w:t>
      </w:r>
      <w:r w:rsidRPr="00583A6D">
        <w:t xml:space="preserve"> C</w:t>
      </w:r>
      <w:r>
        <w:t>.,</w:t>
      </w:r>
      <w:r w:rsidRPr="00583A6D">
        <w:t xml:space="preserve"> Parenty</w:t>
      </w:r>
      <w:r>
        <w:t>,</w:t>
      </w:r>
      <w:r w:rsidRPr="00583A6D">
        <w:t xml:space="preserve"> A</w:t>
      </w:r>
      <w:r>
        <w:t>.,</w:t>
      </w:r>
      <w:r w:rsidRPr="00583A6D">
        <w:t xml:space="preserve"> Spirkl</w:t>
      </w:r>
      <w:r>
        <w:t>,</w:t>
      </w:r>
      <w:r w:rsidRPr="00583A6D">
        <w:t xml:space="preserve"> H</w:t>
      </w:r>
      <w:r>
        <w:t>.</w:t>
      </w:r>
      <w:r w:rsidRPr="00583A6D">
        <w:t>P</w:t>
      </w:r>
      <w:r>
        <w:t>.,</w:t>
      </w:r>
      <w:r w:rsidRPr="00583A6D">
        <w:t xml:space="preserve"> Stalford</w:t>
      </w:r>
      <w:r>
        <w:t>,</w:t>
      </w:r>
      <w:r w:rsidRPr="00583A6D">
        <w:t xml:space="preserve"> S</w:t>
      </w:r>
      <w:r>
        <w:t>.</w:t>
      </w:r>
      <w:r w:rsidRPr="00583A6D">
        <w:t>A</w:t>
      </w:r>
      <w:r>
        <w:t>.,</w:t>
      </w:r>
      <w:r w:rsidRPr="00583A6D">
        <w:t xml:space="preserve"> Weiner</w:t>
      </w:r>
      <w:r>
        <w:t>,</w:t>
      </w:r>
      <w:r w:rsidRPr="00583A6D">
        <w:t xml:space="preserve"> S</w:t>
      </w:r>
      <w:r>
        <w:t>.,</w:t>
      </w:r>
      <w:r w:rsidRPr="00583A6D">
        <w:t xml:space="preserve"> Wichard</w:t>
      </w:r>
      <w:r>
        <w:t>,</w:t>
      </w:r>
      <w:r w:rsidRPr="00583A6D">
        <w:t xml:space="preserve"> J</w:t>
      </w:r>
      <w:r>
        <w:t xml:space="preserve">., </w:t>
      </w:r>
    </w:p>
    <w:p w14:paraId="1A64D34D" w14:textId="77777777" w:rsidR="008B59A3" w:rsidRDefault="008B59A3" w:rsidP="008B59A3">
      <w:pPr>
        <w:spacing w:after="0" w:line="480" w:lineRule="auto"/>
        <w:jc w:val="both"/>
      </w:pPr>
      <w:r>
        <w:tab/>
        <w:t>2016. It’s difficult, but important, to make negative predictions. Regul. Toxicol. Pharm. 76,</w:t>
      </w:r>
    </w:p>
    <w:p w14:paraId="19FD4744" w14:textId="4BE35B76" w:rsidR="00BF7234" w:rsidRPr="00D62E8C" w:rsidRDefault="008B59A3" w:rsidP="00D62E8C">
      <w:pPr>
        <w:spacing w:after="0" w:line="480" w:lineRule="auto"/>
        <w:ind w:firstLine="720"/>
        <w:jc w:val="both"/>
        <w:rPr>
          <w:lang w:val="it-IT"/>
        </w:rPr>
      </w:pPr>
      <w:r w:rsidRPr="00754F54">
        <w:rPr>
          <w:lang w:val="it-IT"/>
        </w:rPr>
        <w:t>79-86.</w:t>
      </w:r>
      <w:r w:rsidR="00091FC9">
        <w:rPr>
          <w:lang w:val="it-IT"/>
        </w:rPr>
        <w:t xml:space="preserve"> DOI:</w:t>
      </w:r>
      <w:r w:rsidR="00091FC9" w:rsidRPr="00091FC9">
        <w:t xml:space="preserve"> </w:t>
      </w:r>
      <w:r w:rsidR="00091FC9" w:rsidRPr="00091FC9">
        <w:rPr>
          <w:lang w:val="it-IT"/>
        </w:rPr>
        <w:t>10.1016/j.yrtph.2016.01.008</w:t>
      </w:r>
    </w:p>
    <w:sectPr w:rsidR="00BF7234" w:rsidRPr="00D62E8C" w:rsidSect="00B562F4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C344D3" w15:done="0"/>
  <w15:commentEx w15:paraId="33343050" w15:done="0"/>
  <w15:commentEx w15:paraId="742E48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F7B1" w14:textId="77777777" w:rsidR="0046018E" w:rsidRDefault="0046018E" w:rsidP="00BF7234">
      <w:pPr>
        <w:spacing w:after="0" w:line="240" w:lineRule="auto"/>
      </w:pPr>
      <w:r>
        <w:separator/>
      </w:r>
    </w:p>
  </w:endnote>
  <w:endnote w:type="continuationSeparator" w:id="0">
    <w:p w14:paraId="6DD36C58" w14:textId="77777777" w:rsidR="0046018E" w:rsidRDefault="0046018E" w:rsidP="00BF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949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AAEBF" w14:textId="77777777" w:rsidR="00F94AD3" w:rsidRDefault="00F94A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31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A1E89FD" w14:textId="77777777" w:rsidR="00F94AD3" w:rsidRDefault="00F94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241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C5FC1" w14:textId="77777777" w:rsidR="00F94AD3" w:rsidRDefault="00F94A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31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0F5242F6" w14:textId="77777777" w:rsidR="00F94AD3" w:rsidRDefault="00F94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2960A" w14:textId="77777777" w:rsidR="0046018E" w:rsidRDefault="0046018E" w:rsidP="00BF7234">
      <w:pPr>
        <w:spacing w:after="0" w:line="240" w:lineRule="auto"/>
      </w:pPr>
      <w:r>
        <w:separator/>
      </w:r>
    </w:p>
  </w:footnote>
  <w:footnote w:type="continuationSeparator" w:id="0">
    <w:p w14:paraId="407BA0D1" w14:textId="77777777" w:rsidR="0046018E" w:rsidRDefault="0046018E" w:rsidP="00BF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060D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E54F4"/>
    <w:multiLevelType w:val="hybridMultilevel"/>
    <w:tmpl w:val="0E38F9E8"/>
    <w:lvl w:ilvl="0" w:tplc="FDE8455A">
      <w:start w:val="14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37FE"/>
    <w:multiLevelType w:val="hybridMultilevel"/>
    <w:tmpl w:val="994A290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17A1EF8"/>
    <w:multiLevelType w:val="hybridMultilevel"/>
    <w:tmpl w:val="A078A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ena Manganelli">
    <w15:presenceInfo w15:providerId="AD" w15:userId="S-1-5-21-3366766030-4177022296-3432442078-6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6"/>
    <w:rsid w:val="00000512"/>
    <w:rsid w:val="00001806"/>
    <w:rsid w:val="0000212F"/>
    <w:rsid w:val="00003E03"/>
    <w:rsid w:val="00005B24"/>
    <w:rsid w:val="000062CA"/>
    <w:rsid w:val="00006663"/>
    <w:rsid w:val="000121C5"/>
    <w:rsid w:val="00012A36"/>
    <w:rsid w:val="000137A0"/>
    <w:rsid w:val="00013D4F"/>
    <w:rsid w:val="00013F92"/>
    <w:rsid w:val="00014C6C"/>
    <w:rsid w:val="0001566C"/>
    <w:rsid w:val="000156D3"/>
    <w:rsid w:val="00016245"/>
    <w:rsid w:val="000165F4"/>
    <w:rsid w:val="000168C5"/>
    <w:rsid w:val="00021967"/>
    <w:rsid w:val="00021B17"/>
    <w:rsid w:val="000229AF"/>
    <w:rsid w:val="000236C6"/>
    <w:rsid w:val="00026882"/>
    <w:rsid w:val="000316A2"/>
    <w:rsid w:val="00032714"/>
    <w:rsid w:val="00033139"/>
    <w:rsid w:val="000333D4"/>
    <w:rsid w:val="00036178"/>
    <w:rsid w:val="00041B3E"/>
    <w:rsid w:val="00041C88"/>
    <w:rsid w:val="000429C6"/>
    <w:rsid w:val="00042B3D"/>
    <w:rsid w:val="00042F7C"/>
    <w:rsid w:val="00043CEE"/>
    <w:rsid w:val="0004578A"/>
    <w:rsid w:val="00047982"/>
    <w:rsid w:val="00047AC5"/>
    <w:rsid w:val="00050B06"/>
    <w:rsid w:val="00053A07"/>
    <w:rsid w:val="000545F5"/>
    <w:rsid w:val="000560CC"/>
    <w:rsid w:val="00056295"/>
    <w:rsid w:val="00057046"/>
    <w:rsid w:val="0005712E"/>
    <w:rsid w:val="000612D3"/>
    <w:rsid w:val="00061446"/>
    <w:rsid w:val="00061EF9"/>
    <w:rsid w:val="000624A1"/>
    <w:rsid w:val="00062D5D"/>
    <w:rsid w:val="000649C7"/>
    <w:rsid w:val="000655BC"/>
    <w:rsid w:val="00065881"/>
    <w:rsid w:val="0006717E"/>
    <w:rsid w:val="00067AB5"/>
    <w:rsid w:val="000715EB"/>
    <w:rsid w:val="0007168D"/>
    <w:rsid w:val="0007244F"/>
    <w:rsid w:val="0007327D"/>
    <w:rsid w:val="0007430A"/>
    <w:rsid w:val="00076BA9"/>
    <w:rsid w:val="0008064F"/>
    <w:rsid w:val="00085BD7"/>
    <w:rsid w:val="00090C0D"/>
    <w:rsid w:val="00091FC9"/>
    <w:rsid w:val="0009229B"/>
    <w:rsid w:val="000944F0"/>
    <w:rsid w:val="000967AD"/>
    <w:rsid w:val="00097F4D"/>
    <w:rsid w:val="000A2390"/>
    <w:rsid w:val="000A258A"/>
    <w:rsid w:val="000A75A7"/>
    <w:rsid w:val="000A7DF7"/>
    <w:rsid w:val="000B1F66"/>
    <w:rsid w:val="000B48EA"/>
    <w:rsid w:val="000B588E"/>
    <w:rsid w:val="000B70A2"/>
    <w:rsid w:val="000C29E3"/>
    <w:rsid w:val="000C2B03"/>
    <w:rsid w:val="000C5029"/>
    <w:rsid w:val="000C5738"/>
    <w:rsid w:val="000C672F"/>
    <w:rsid w:val="000C6D23"/>
    <w:rsid w:val="000C6F7C"/>
    <w:rsid w:val="000C7A3C"/>
    <w:rsid w:val="000D226A"/>
    <w:rsid w:val="000D22EF"/>
    <w:rsid w:val="000D29A4"/>
    <w:rsid w:val="000D3552"/>
    <w:rsid w:val="000D41E0"/>
    <w:rsid w:val="000D532D"/>
    <w:rsid w:val="000D532F"/>
    <w:rsid w:val="000E0F5D"/>
    <w:rsid w:val="000E2333"/>
    <w:rsid w:val="000E27D2"/>
    <w:rsid w:val="000E2D83"/>
    <w:rsid w:val="000E3B67"/>
    <w:rsid w:val="000E5FB4"/>
    <w:rsid w:val="000E5FCC"/>
    <w:rsid w:val="000F1A70"/>
    <w:rsid w:val="000F1B59"/>
    <w:rsid w:val="000F1B5E"/>
    <w:rsid w:val="000F2D18"/>
    <w:rsid w:val="000F3423"/>
    <w:rsid w:val="000F368F"/>
    <w:rsid w:val="001044E3"/>
    <w:rsid w:val="001053A6"/>
    <w:rsid w:val="00105BF6"/>
    <w:rsid w:val="001077B1"/>
    <w:rsid w:val="00110052"/>
    <w:rsid w:val="00112E54"/>
    <w:rsid w:val="001144B3"/>
    <w:rsid w:val="00115A93"/>
    <w:rsid w:val="001215DC"/>
    <w:rsid w:val="0012275D"/>
    <w:rsid w:val="0012299A"/>
    <w:rsid w:val="00122F4C"/>
    <w:rsid w:val="00122FA3"/>
    <w:rsid w:val="001237A5"/>
    <w:rsid w:val="00123FAC"/>
    <w:rsid w:val="0012723A"/>
    <w:rsid w:val="00127816"/>
    <w:rsid w:val="001302F9"/>
    <w:rsid w:val="00131699"/>
    <w:rsid w:val="00131918"/>
    <w:rsid w:val="0013212B"/>
    <w:rsid w:val="00132950"/>
    <w:rsid w:val="00132EBF"/>
    <w:rsid w:val="00134712"/>
    <w:rsid w:val="00134A8C"/>
    <w:rsid w:val="0013588A"/>
    <w:rsid w:val="001365D0"/>
    <w:rsid w:val="00140E58"/>
    <w:rsid w:val="0014313E"/>
    <w:rsid w:val="00144338"/>
    <w:rsid w:val="001464BC"/>
    <w:rsid w:val="0015023A"/>
    <w:rsid w:val="0015112C"/>
    <w:rsid w:val="001512E3"/>
    <w:rsid w:val="00151403"/>
    <w:rsid w:val="00153E50"/>
    <w:rsid w:val="001556CC"/>
    <w:rsid w:val="00156DDB"/>
    <w:rsid w:val="00161463"/>
    <w:rsid w:val="0016208D"/>
    <w:rsid w:val="001620FC"/>
    <w:rsid w:val="001622E1"/>
    <w:rsid w:val="00163B92"/>
    <w:rsid w:val="00164B4E"/>
    <w:rsid w:val="001666D3"/>
    <w:rsid w:val="00167075"/>
    <w:rsid w:val="00167525"/>
    <w:rsid w:val="00167744"/>
    <w:rsid w:val="0016775D"/>
    <w:rsid w:val="00167B2C"/>
    <w:rsid w:val="00170C10"/>
    <w:rsid w:val="00171631"/>
    <w:rsid w:val="001727D1"/>
    <w:rsid w:val="001755EC"/>
    <w:rsid w:val="0017577A"/>
    <w:rsid w:val="001765C1"/>
    <w:rsid w:val="00176732"/>
    <w:rsid w:val="00176E48"/>
    <w:rsid w:val="00180422"/>
    <w:rsid w:val="00181134"/>
    <w:rsid w:val="001824F7"/>
    <w:rsid w:val="00182524"/>
    <w:rsid w:val="0018642B"/>
    <w:rsid w:val="00187051"/>
    <w:rsid w:val="0019108E"/>
    <w:rsid w:val="00191297"/>
    <w:rsid w:val="00191FAC"/>
    <w:rsid w:val="00192691"/>
    <w:rsid w:val="00192769"/>
    <w:rsid w:val="00193927"/>
    <w:rsid w:val="001941C6"/>
    <w:rsid w:val="00196019"/>
    <w:rsid w:val="00197CD1"/>
    <w:rsid w:val="001A3004"/>
    <w:rsid w:val="001A3C98"/>
    <w:rsid w:val="001A6878"/>
    <w:rsid w:val="001A7164"/>
    <w:rsid w:val="001A7D5C"/>
    <w:rsid w:val="001A7E77"/>
    <w:rsid w:val="001B0B71"/>
    <w:rsid w:val="001B2657"/>
    <w:rsid w:val="001B266F"/>
    <w:rsid w:val="001B316A"/>
    <w:rsid w:val="001B4A71"/>
    <w:rsid w:val="001B4C4A"/>
    <w:rsid w:val="001B515C"/>
    <w:rsid w:val="001B7AA0"/>
    <w:rsid w:val="001C1418"/>
    <w:rsid w:val="001C207F"/>
    <w:rsid w:val="001C2136"/>
    <w:rsid w:val="001C2F3B"/>
    <w:rsid w:val="001C3933"/>
    <w:rsid w:val="001C45E1"/>
    <w:rsid w:val="001C5D6A"/>
    <w:rsid w:val="001C7592"/>
    <w:rsid w:val="001D0520"/>
    <w:rsid w:val="001D21D6"/>
    <w:rsid w:val="001D26DA"/>
    <w:rsid w:val="001D2B98"/>
    <w:rsid w:val="001D438B"/>
    <w:rsid w:val="001D6804"/>
    <w:rsid w:val="001E1166"/>
    <w:rsid w:val="001E3009"/>
    <w:rsid w:val="001E44A7"/>
    <w:rsid w:val="001E4F73"/>
    <w:rsid w:val="001E6CD0"/>
    <w:rsid w:val="001F01A7"/>
    <w:rsid w:val="001F0A7B"/>
    <w:rsid w:val="001F2EF6"/>
    <w:rsid w:val="001F2FCA"/>
    <w:rsid w:val="001F3205"/>
    <w:rsid w:val="001F4C2C"/>
    <w:rsid w:val="001F5CF8"/>
    <w:rsid w:val="001F69C1"/>
    <w:rsid w:val="001F717A"/>
    <w:rsid w:val="001F7CD0"/>
    <w:rsid w:val="0020002D"/>
    <w:rsid w:val="002013FC"/>
    <w:rsid w:val="00201C1A"/>
    <w:rsid w:val="0020348E"/>
    <w:rsid w:val="00203F3B"/>
    <w:rsid w:val="002048C0"/>
    <w:rsid w:val="00204C2C"/>
    <w:rsid w:val="0020554F"/>
    <w:rsid w:val="00206400"/>
    <w:rsid w:val="00206E18"/>
    <w:rsid w:val="002071DB"/>
    <w:rsid w:val="00207EAD"/>
    <w:rsid w:val="002109B6"/>
    <w:rsid w:val="00211516"/>
    <w:rsid w:val="00212CDB"/>
    <w:rsid w:val="00212FA4"/>
    <w:rsid w:val="00216FAD"/>
    <w:rsid w:val="0021731E"/>
    <w:rsid w:val="0022203A"/>
    <w:rsid w:val="002226BE"/>
    <w:rsid w:val="00224333"/>
    <w:rsid w:val="00225982"/>
    <w:rsid w:val="00226FFA"/>
    <w:rsid w:val="00227309"/>
    <w:rsid w:val="002274F5"/>
    <w:rsid w:val="002319BC"/>
    <w:rsid w:val="00231E0B"/>
    <w:rsid w:val="00231F52"/>
    <w:rsid w:val="0023336E"/>
    <w:rsid w:val="0023509C"/>
    <w:rsid w:val="00235CCF"/>
    <w:rsid w:val="00242713"/>
    <w:rsid w:val="00243607"/>
    <w:rsid w:val="002453F6"/>
    <w:rsid w:val="00245958"/>
    <w:rsid w:val="002476A8"/>
    <w:rsid w:val="00250724"/>
    <w:rsid w:val="00250B04"/>
    <w:rsid w:val="00251EAB"/>
    <w:rsid w:val="00252B84"/>
    <w:rsid w:val="00253047"/>
    <w:rsid w:val="00253351"/>
    <w:rsid w:val="00253BE7"/>
    <w:rsid w:val="00254F3B"/>
    <w:rsid w:val="00256106"/>
    <w:rsid w:val="00256DC1"/>
    <w:rsid w:val="002572DE"/>
    <w:rsid w:val="00257D28"/>
    <w:rsid w:val="00262117"/>
    <w:rsid w:val="0026379E"/>
    <w:rsid w:val="00263FAE"/>
    <w:rsid w:val="00264C31"/>
    <w:rsid w:val="00265C46"/>
    <w:rsid w:val="00266194"/>
    <w:rsid w:val="002662CB"/>
    <w:rsid w:val="002708E4"/>
    <w:rsid w:val="00270AB8"/>
    <w:rsid w:val="002717A8"/>
    <w:rsid w:val="00272E0F"/>
    <w:rsid w:val="002732C5"/>
    <w:rsid w:val="002738C2"/>
    <w:rsid w:val="002741FF"/>
    <w:rsid w:val="0027427E"/>
    <w:rsid w:val="0027584F"/>
    <w:rsid w:val="002819EF"/>
    <w:rsid w:val="00282265"/>
    <w:rsid w:val="00283EF7"/>
    <w:rsid w:val="002856F4"/>
    <w:rsid w:val="00285755"/>
    <w:rsid w:val="00287642"/>
    <w:rsid w:val="00287EFB"/>
    <w:rsid w:val="002907E5"/>
    <w:rsid w:val="00290CEF"/>
    <w:rsid w:val="0029158D"/>
    <w:rsid w:val="00291835"/>
    <w:rsid w:val="002930AE"/>
    <w:rsid w:val="0029645E"/>
    <w:rsid w:val="00296CDD"/>
    <w:rsid w:val="00297733"/>
    <w:rsid w:val="002A1AC1"/>
    <w:rsid w:val="002A2883"/>
    <w:rsid w:val="002A3842"/>
    <w:rsid w:val="002A40DC"/>
    <w:rsid w:val="002A50F2"/>
    <w:rsid w:val="002A5FA1"/>
    <w:rsid w:val="002A6792"/>
    <w:rsid w:val="002A7E82"/>
    <w:rsid w:val="002B086E"/>
    <w:rsid w:val="002B17D2"/>
    <w:rsid w:val="002B228B"/>
    <w:rsid w:val="002B7982"/>
    <w:rsid w:val="002C1A22"/>
    <w:rsid w:val="002C1E70"/>
    <w:rsid w:val="002C2864"/>
    <w:rsid w:val="002D14C2"/>
    <w:rsid w:val="002D3087"/>
    <w:rsid w:val="002D4E29"/>
    <w:rsid w:val="002D5D33"/>
    <w:rsid w:val="002D6419"/>
    <w:rsid w:val="002D6511"/>
    <w:rsid w:val="002D766B"/>
    <w:rsid w:val="002D7840"/>
    <w:rsid w:val="002E0C9B"/>
    <w:rsid w:val="002E10E3"/>
    <w:rsid w:val="002E1193"/>
    <w:rsid w:val="002E2F08"/>
    <w:rsid w:val="002E40C2"/>
    <w:rsid w:val="002E559F"/>
    <w:rsid w:val="002E6D25"/>
    <w:rsid w:val="002E73A8"/>
    <w:rsid w:val="002E764B"/>
    <w:rsid w:val="002E774F"/>
    <w:rsid w:val="002E7F4C"/>
    <w:rsid w:val="002F0B7C"/>
    <w:rsid w:val="002F1150"/>
    <w:rsid w:val="002F14EE"/>
    <w:rsid w:val="002F35B1"/>
    <w:rsid w:val="002F396E"/>
    <w:rsid w:val="002F60C2"/>
    <w:rsid w:val="002F7326"/>
    <w:rsid w:val="003025F2"/>
    <w:rsid w:val="003053F3"/>
    <w:rsid w:val="00305A0C"/>
    <w:rsid w:val="00307F6C"/>
    <w:rsid w:val="00310A82"/>
    <w:rsid w:val="00310BAD"/>
    <w:rsid w:val="0031165C"/>
    <w:rsid w:val="0031408B"/>
    <w:rsid w:val="00320DCA"/>
    <w:rsid w:val="00323945"/>
    <w:rsid w:val="00325143"/>
    <w:rsid w:val="00325621"/>
    <w:rsid w:val="00325EE8"/>
    <w:rsid w:val="00325FD6"/>
    <w:rsid w:val="0032791E"/>
    <w:rsid w:val="0033019F"/>
    <w:rsid w:val="00330934"/>
    <w:rsid w:val="00330E69"/>
    <w:rsid w:val="00332330"/>
    <w:rsid w:val="00332A0B"/>
    <w:rsid w:val="00334B3E"/>
    <w:rsid w:val="00334DD9"/>
    <w:rsid w:val="00335D4D"/>
    <w:rsid w:val="003362E3"/>
    <w:rsid w:val="00336A82"/>
    <w:rsid w:val="00336B4A"/>
    <w:rsid w:val="00337D12"/>
    <w:rsid w:val="00340F3F"/>
    <w:rsid w:val="003415E7"/>
    <w:rsid w:val="00342958"/>
    <w:rsid w:val="003451E5"/>
    <w:rsid w:val="00346222"/>
    <w:rsid w:val="003472FA"/>
    <w:rsid w:val="00347641"/>
    <w:rsid w:val="003502E7"/>
    <w:rsid w:val="0035103F"/>
    <w:rsid w:val="00352C90"/>
    <w:rsid w:val="00354922"/>
    <w:rsid w:val="003560F4"/>
    <w:rsid w:val="00357288"/>
    <w:rsid w:val="00360A38"/>
    <w:rsid w:val="00361C7F"/>
    <w:rsid w:val="00364F74"/>
    <w:rsid w:val="00365AA4"/>
    <w:rsid w:val="00366BC4"/>
    <w:rsid w:val="00367068"/>
    <w:rsid w:val="00370267"/>
    <w:rsid w:val="00371577"/>
    <w:rsid w:val="00371D80"/>
    <w:rsid w:val="0037230F"/>
    <w:rsid w:val="00373DB2"/>
    <w:rsid w:val="00374817"/>
    <w:rsid w:val="00374ED1"/>
    <w:rsid w:val="003769EA"/>
    <w:rsid w:val="00377678"/>
    <w:rsid w:val="003828EB"/>
    <w:rsid w:val="00383F7D"/>
    <w:rsid w:val="0038402E"/>
    <w:rsid w:val="003844C2"/>
    <w:rsid w:val="00384A58"/>
    <w:rsid w:val="00385788"/>
    <w:rsid w:val="00385D18"/>
    <w:rsid w:val="00386E2E"/>
    <w:rsid w:val="00386F0B"/>
    <w:rsid w:val="003917B5"/>
    <w:rsid w:val="00391F08"/>
    <w:rsid w:val="00393587"/>
    <w:rsid w:val="003A1259"/>
    <w:rsid w:val="003A3A16"/>
    <w:rsid w:val="003A4850"/>
    <w:rsid w:val="003A7607"/>
    <w:rsid w:val="003B09B5"/>
    <w:rsid w:val="003B13CA"/>
    <w:rsid w:val="003B1B26"/>
    <w:rsid w:val="003B1BB7"/>
    <w:rsid w:val="003B1DBB"/>
    <w:rsid w:val="003B319E"/>
    <w:rsid w:val="003B35FD"/>
    <w:rsid w:val="003B4648"/>
    <w:rsid w:val="003B5DAC"/>
    <w:rsid w:val="003B663C"/>
    <w:rsid w:val="003C01B5"/>
    <w:rsid w:val="003C06D9"/>
    <w:rsid w:val="003C0D8B"/>
    <w:rsid w:val="003C1CC8"/>
    <w:rsid w:val="003C2B08"/>
    <w:rsid w:val="003C3FBE"/>
    <w:rsid w:val="003C3FF2"/>
    <w:rsid w:val="003C4523"/>
    <w:rsid w:val="003D1922"/>
    <w:rsid w:val="003D1ECD"/>
    <w:rsid w:val="003D2520"/>
    <w:rsid w:val="003D415C"/>
    <w:rsid w:val="003D44AD"/>
    <w:rsid w:val="003D53D8"/>
    <w:rsid w:val="003E0A2F"/>
    <w:rsid w:val="003E2B84"/>
    <w:rsid w:val="003F171F"/>
    <w:rsid w:val="003F1895"/>
    <w:rsid w:val="003F23C3"/>
    <w:rsid w:val="003F3B73"/>
    <w:rsid w:val="003F4113"/>
    <w:rsid w:val="003F45FD"/>
    <w:rsid w:val="003F6741"/>
    <w:rsid w:val="003F6FBB"/>
    <w:rsid w:val="0040011A"/>
    <w:rsid w:val="00401DED"/>
    <w:rsid w:val="0040526A"/>
    <w:rsid w:val="004057CE"/>
    <w:rsid w:val="00406D7D"/>
    <w:rsid w:val="0040779F"/>
    <w:rsid w:val="004102FF"/>
    <w:rsid w:val="00411FD9"/>
    <w:rsid w:val="00412174"/>
    <w:rsid w:val="004133C9"/>
    <w:rsid w:val="0041390E"/>
    <w:rsid w:val="004141AD"/>
    <w:rsid w:val="004165B9"/>
    <w:rsid w:val="004165BF"/>
    <w:rsid w:val="00417E73"/>
    <w:rsid w:val="004226DD"/>
    <w:rsid w:val="00422A9D"/>
    <w:rsid w:val="00426115"/>
    <w:rsid w:val="004264E8"/>
    <w:rsid w:val="00426EC5"/>
    <w:rsid w:val="00427B11"/>
    <w:rsid w:val="00430670"/>
    <w:rsid w:val="00431DAA"/>
    <w:rsid w:val="0043379A"/>
    <w:rsid w:val="0043760C"/>
    <w:rsid w:val="00443F34"/>
    <w:rsid w:val="004441D3"/>
    <w:rsid w:val="00445168"/>
    <w:rsid w:val="004459AE"/>
    <w:rsid w:val="00445CC9"/>
    <w:rsid w:val="0044699F"/>
    <w:rsid w:val="0045076E"/>
    <w:rsid w:val="00451943"/>
    <w:rsid w:val="00452AEC"/>
    <w:rsid w:val="00454497"/>
    <w:rsid w:val="00455771"/>
    <w:rsid w:val="00455E10"/>
    <w:rsid w:val="004560BB"/>
    <w:rsid w:val="00456590"/>
    <w:rsid w:val="00457E4D"/>
    <w:rsid w:val="0046018E"/>
    <w:rsid w:val="00461E8A"/>
    <w:rsid w:val="00463100"/>
    <w:rsid w:val="00463411"/>
    <w:rsid w:val="00464CF8"/>
    <w:rsid w:val="00465142"/>
    <w:rsid w:val="00471554"/>
    <w:rsid w:val="00471B20"/>
    <w:rsid w:val="0047247F"/>
    <w:rsid w:val="00473B7C"/>
    <w:rsid w:val="0047400E"/>
    <w:rsid w:val="00475771"/>
    <w:rsid w:val="00476AAF"/>
    <w:rsid w:val="00484708"/>
    <w:rsid w:val="0048489C"/>
    <w:rsid w:val="00486F21"/>
    <w:rsid w:val="00487523"/>
    <w:rsid w:val="0049047D"/>
    <w:rsid w:val="00492284"/>
    <w:rsid w:val="00494B88"/>
    <w:rsid w:val="00496F80"/>
    <w:rsid w:val="00497FFD"/>
    <w:rsid w:val="004A00B8"/>
    <w:rsid w:val="004A05BB"/>
    <w:rsid w:val="004A0A32"/>
    <w:rsid w:val="004A0FC4"/>
    <w:rsid w:val="004A2057"/>
    <w:rsid w:val="004A3388"/>
    <w:rsid w:val="004A40D3"/>
    <w:rsid w:val="004A46EB"/>
    <w:rsid w:val="004A4C11"/>
    <w:rsid w:val="004B00ED"/>
    <w:rsid w:val="004B1526"/>
    <w:rsid w:val="004B2F0F"/>
    <w:rsid w:val="004B524F"/>
    <w:rsid w:val="004B54E6"/>
    <w:rsid w:val="004B60E3"/>
    <w:rsid w:val="004B6C01"/>
    <w:rsid w:val="004C0816"/>
    <w:rsid w:val="004C0B07"/>
    <w:rsid w:val="004C144E"/>
    <w:rsid w:val="004C18CD"/>
    <w:rsid w:val="004C236D"/>
    <w:rsid w:val="004C25D1"/>
    <w:rsid w:val="004C2A0E"/>
    <w:rsid w:val="004C2A46"/>
    <w:rsid w:val="004C4225"/>
    <w:rsid w:val="004C5E61"/>
    <w:rsid w:val="004D0AC5"/>
    <w:rsid w:val="004D20F5"/>
    <w:rsid w:val="004D272B"/>
    <w:rsid w:val="004D5774"/>
    <w:rsid w:val="004D66A3"/>
    <w:rsid w:val="004D7193"/>
    <w:rsid w:val="004D762C"/>
    <w:rsid w:val="004E1C61"/>
    <w:rsid w:val="004E2B67"/>
    <w:rsid w:val="004E46DD"/>
    <w:rsid w:val="004E5AF8"/>
    <w:rsid w:val="004E6834"/>
    <w:rsid w:val="004E708B"/>
    <w:rsid w:val="004E7ACA"/>
    <w:rsid w:val="004E7D50"/>
    <w:rsid w:val="004E7D57"/>
    <w:rsid w:val="004F520B"/>
    <w:rsid w:val="00500025"/>
    <w:rsid w:val="00500512"/>
    <w:rsid w:val="00501ADF"/>
    <w:rsid w:val="00503730"/>
    <w:rsid w:val="00503D7B"/>
    <w:rsid w:val="00505A62"/>
    <w:rsid w:val="00511D16"/>
    <w:rsid w:val="005128D6"/>
    <w:rsid w:val="00512E33"/>
    <w:rsid w:val="00514D30"/>
    <w:rsid w:val="00514E8A"/>
    <w:rsid w:val="00516D6E"/>
    <w:rsid w:val="00516E92"/>
    <w:rsid w:val="00517CB6"/>
    <w:rsid w:val="00517D7C"/>
    <w:rsid w:val="00520496"/>
    <w:rsid w:val="0052067C"/>
    <w:rsid w:val="00520753"/>
    <w:rsid w:val="00520F28"/>
    <w:rsid w:val="00523FAE"/>
    <w:rsid w:val="005246ED"/>
    <w:rsid w:val="0052514B"/>
    <w:rsid w:val="00530038"/>
    <w:rsid w:val="00531E2D"/>
    <w:rsid w:val="00532449"/>
    <w:rsid w:val="0053387E"/>
    <w:rsid w:val="00533C54"/>
    <w:rsid w:val="00535E91"/>
    <w:rsid w:val="00537996"/>
    <w:rsid w:val="005379FA"/>
    <w:rsid w:val="0054008C"/>
    <w:rsid w:val="00542400"/>
    <w:rsid w:val="005424F9"/>
    <w:rsid w:val="005433D2"/>
    <w:rsid w:val="005447C0"/>
    <w:rsid w:val="00544A89"/>
    <w:rsid w:val="00544D9C"/>
    <w:rsid w:val="005451A9"/>
    <w:rsid w:val="00545A5C"/>
    <w:rsid w:val="00545A9B"/>
    <w:rsid w:val="00545B00"/>
    <w:rsid w:val="00546CC2"/>
    <w:rsid w:val="00547D55"/>
    <w:rsid w:val="00552C04"/>
    <w:rsid w:val="00552DEB"/>
    <w:rsid w:val="00553AD4"/>
    <w:rsid w:val="00554E7D"/>
    <w:rsid w:val="0055546E"/>
    <w:rsid w:val="005556C6"/>
    <w:rsid w:val="00562146"/>
    <w:rsid w:val="00563640"/>
    <w:rsid w:val="00567910"/>
    <w:rsid w:val="005702BC"/>
    <w:rsid w:val="00580CDD"/>
    <w:rsid w:val="00580FBF"/>
    <w:rsid w:val="005819FE"/>
    <w:rsid w:val="005824D7"/>
    <w:rsid w:val="00583A6D"/>
    <w:rsid w:val="00583E6F"/>
    <w:rsid w:val="005857E7"/>
    <w:rsid w:val="00586870"/>
    <w:rsid w:val="00586FD6"/>
    <w:rsid w:val="00587130"/>
    <w:rsid w:val="00587278"/>
    <w:rsid w:val="00587418"/>
    <w:rsid w:val="00587A03"/>
    <w:rsid w:val="00590140"/>
    <w:rsid w:val="005902B8"/>
    <w:rsid w:val="00591B8C"/>
    <w:rsid w:val="00594E81"/>
    <w:rsid w:val="00595156"/>
    <w:rsid w:val="005952A7"/>
    <w:rsid w:val="00596730"/>
    <w:rsid w:val="00596ECA"/>
    <w:rsid w:val="005A3A90"/>
    <w:rsid w:val="005A3AD9"/>
    <w:rsid w:val="005A4CC2"/>
    <w:rsid w:val="005A50A5"/>
    <w:rsid w:val="005A5FD0"/>
    <w:rsid w:val="005B068B"/>
    <w:rsid w:val="005B14FD"/>
    <w:rsid w:val="005B219E"/>
    <w:rsid w:val="005B3C26"/>
    <w:rsid w:val="005B3F4D"/>
    <w:rsid w:val="005B4279"/>
    <w:rsid w:val="005B4B48"/>
    <w:rsid w:val="005B55D9"/>
    <w:rsid w:val="005B6A60"/>
    <w:rsid w:val="005B7739"/>
    <w:rsid w:val="005C08A5"/>
    <w:rsid w:val="005C139D"/>
    <w:rsid w:val="005C1C89"/>
    <w:rsid w:val="005C5EFA"/>
    <w:rsid w:val="005C6542"/>
    <w:rsid w:val="005C6EB1"/>
    <w:rsid w:val="005C6FE1"/>
    <w:rsid w:val="005C727E"/>
    <w:rsid w:val="005D07B7"/>
    <w:rsid w:val="005D2341"/>
    <w:rsid w:val="005D5414"/>
    <w:rsid w:val="005D6980"/>
    <w:rsid w:val="005D75B3"/>
    <w:rsid w:val="005E00EA"/>
    <w:rsid w:val="005E045A"/>
    <w:rsid w:val="005E2AE9"/>
    <w:rsid w:val="005E36AF"/>
    <w:rsid w:val="005E3EDA"/>
    <w:rsid w:val="005F2988"/>
    <w:rsid w:val="005F4798"/>
    <w:rsid w:val="005F61E6"/>
    <w:rsid w:val="00601123"/>
    <w:rsid w:val="006019C3"/>
    <w:rsid w:val="006039D0"/>
    <w:rsid w:val="00603BEF"/>
    <w:rsid w:val="006055DD"/>
    <w:rsid w:val="00607FDF"/>
    <w:rsid w:val="0061193D"/>
    <w:rsid w:val="006120AE"/>
    <w:rsid w:val="00612370"/>
    <w:rsid w:val="00612944"/>
    <w:rsid w:val="00613070"/>
    <w:rsid w:val="0061337F"/>
    <w:rsid w:val="00614D36"/>
    <w:rsid w:val="006151D6"/>
    <w:rsid w:val="00615765"/>
    <w:rsid w:val="00617AA8"/>
    <w:rsid w:val="00620E12"/>
    <w:rsid w:val="00621174"/>
    <w:rsid w:val="00621E60"/>
    <w:rsid w:val="00622F5E"/>
    <w:rsid w:val="00625171"/>
    <w:rsid w:val="0062537A"/>
    <w:rsid w:val="00630CCF"/>
    <w:rsid w:val="00630F8B"/>
    <w:rsid w:val="006320B0"/>
    <w:rsid w:val="006343EA"/>
    <w:rsid w:val="00635EFF"/>
    <w:rsid w:val="00636198"/>
    <w:rsid w:val="006400FD"/>
    <w:rsid w:val="006403CF"/>
    <w:rsid w:val="006408CF"/>
    <w:rsid w:val="00640B45"/>
    <w:rsid w:val="00640C72"/>
    <w:rsid w:val="006416C0"/>
    <w:rsid w:val="00641738"/>
    <w:rsid w:val="006419EB"/>
    <w:rsid w:val="00644426"/>
    <w:rsid w:val="00645008"/>
    <w:rsid w:val="00645087"/>
    <w:rsid w:val="00647D51"/>
    <w:rsid w:val="00650F59"/>
    <w:rsid w:val="0065133F"/>
    <w:rsid w:val="00651B85"/>
    <w:rsid w:val="006537DE"/>
    <w:rsid w:val="0065393F"/>
    <w:rsid w:val="006543F3"/>
    <w:rsid w:val="006564B3"/>
    <w:rsid w:val="0065713C"/>
    <w:rsid w:val="00663A29"/>
    <w:rsid w:val="00664409"/>
    <w:rsid w:val="00664C47"/>
    <w:rsid w:val="0066664F"/>
    <w:rsid w:val="00667D21"/>
    <w:rsid w:val="00672EE2"/>
    <w:rsid w:val="00684200"/>
    <w:rsid w:val="00684488"/>
    <w:rsid w:val="00684778"/>
    <w:rsid w:val="00684998"/>
    <w:rsid w:val="006864B7"/>
    <w:rsid w:val="006871C3"/>
    <w:rsid w:val="00687F6E"/>
    <w:rsid w:val="00690A10"/>
    <w:rsid w:val="00691435"/>
    <w:rsid w:val="00691F44"/>
    <w:rsid w:val="00692087"/>
    <w:rsid w:val="0069229F"/>
    <w:rsid w:val="0069271E"/>
    <w:rsid w:val="00693D91"/>
    <w:rsid w:val="006947A8"/>
    <w:rsid w:val="006954CD"/>
    <w:rsid w:val="00695E50"/>
    <w:rsid w:val="0069751F"/>
    <w:rsid w:val="00697B71"/>
    <w:rsid w:val="00697E42"/>
    <w:rsid w:val="006A1F0C"/>
    <w:rsid w:val="006A2FB5"/>
    <w:rsid w:val="006A3884"/>
    <w:rsid w:val="006A708D"/>
    <w:rsid w:val="006B1309"/>
    <w:rsid w:val="006B208D"/>
    <w:rsid w:val="006B324A"/>
    <w:rsid w:val="006B35EA"/>
    <w:rsid w:val="006B3925"/>
    <w:rsid w:val="006B5308"/>
    <w:rsid w:val="006C2634"/>
    <w:rsid w:val="006C6B3D"/>
    <w:rsid w:val="006C7B0C"/>
    <w:rsid w:val="006D2782"/>
    <w:rsid w:val="006D32A0"/>
    <w:rsid w:val="006D422B"/>
    <w:rsid w:val="006D4700"/>
    <w:rsid w:val="006D56B3"/>
    <w:rsid w:val="006D5DF7"/>
    <w:rsid w:val="006D61F6"/>
    <w:rsid w:val="006D6211"/>
    <w:rsid w:val="006D6475"/>
    <w:rsid w:val="006D718D"/>
    <w:rsid w:val="006E23B6"/>
    <w:rsid w:val="006E5BB8"/>
    <w:rsid w:val="006E6BD6"/>
    <w:rsid w:val="006E7692"/>
    <w:rsid w:val="006F08CC"/>
    <w:rsid w:val="006F119B"/>
    <w:rsid w:val="006F15FC"/>
    <w:rsid w:val="006F163C"/>
    <w:rsid w:val="006F23A1"/>
    <w:rsid w:val="006F2E09"/>
    <w:rsid w:val="006F3121"/>
    <w:rsid w:val="006F3D10"/>
    <w:rsid w:val="006F4C7E"/>
    <w:rsid w:val="006F4EAB"/>
    <w:rsid w:val="006F5566"/>
    <w:rsid w:val="006F64AC"/>
    <w:rsid w:val="00700A4D"/>
    <w:rsid w:val="00701920"/>
    <w:rsid w:val="00701BE0"/>
    <w:rsid w:val="00702285"/>
    <w:rsid w:val="007024FB"/>
    <w:rsid w:val="00702848"/>
    <w:rsid w:val="0070297B"/>
    <w:rsid w:val="0070628A"/>
    <w:rsid w:val="00711014"/>
    <w:rsid w:val="007111E8"/>
    <w:rsid w:val="00712C36"/>
    <w:rsid w:val="00715CDA"/>
    <w:rsid w:val="0071614E"/>
    <w:rsid w:val="00716EAF"/>
    <w:rsid w:val="00717A88"/>
    <w:rsid w:val="007203E4"/>
    <w:rsid w:val="00720804"/>
    <w:rsid w:val="00720C4D"/>
    <w:rsid w:val="00724176"/>
    <w:rsid w:val="0072424E"/>
    <w:rsid w:val="00725241"/>
    <w:rsid w:val="00727CEC"/>
    <w:rsid w:val="00734261"/>
    <w:rsid w:val="0073453A"/>
    <w:rsid w:val="00734BF8"/>
    <w:rsid w:val="00735032"/>
    <w:rsid w:val="0074078C"/>
    <w:rsid w:val="007413FD"/>
    <w:rsid w:val="00742F47"/>
    <w:rsid w:val="00742F59"/>
    <w:rsid w:val="00745D20"/>
    <w:rsid w:val="007473B2"/>
    <w:rsid w:val="00747417"/>
    <w:rsid w:val="0074774E"/>
    <w:rsid w:val="007515A2"/>
    <w:rsid w:val="00751B71"/>
    <w:rsid w:val="00754F54"/>
    <w:rsid w:val="00755609"/>
    <w:rsid w:val="00755FF3"/>
    <w:rsid w:val="00757966"/>
    <w:rsid w:val="0076266A"/>
    <w:rsid w:val="00765C20"/>
    <w:rsid w:val="00766C49"/>
    <w:rsid w:val="00770309"/>
    <w:rsid w:val="00770ED7"/>
    <w:rsid w:val="00771AEF"/>
    <w:rsid w:val="007730DA"/>
    <w:rsid w:val="007731C0"/>
    <w:rsid w:val="00775166"/>
    <w:rsid w:val="00781473"/>
    <w:rsid w:val="0078164D"/>
    <w:rsid w:val="00786395"/>
    <w:rsid w:val="00787A8A"/>
    <w:rsid w:val="007909AC"/>
    <w:rsid w:val="00793068"/>
    <w:rsid w:val="0079338D"/>
    <w:rsid w:val="007934A8"/>
    <w:rsid w:val="00793574"/>
    <w:rsid w:val="00794843"/>
    <w:rsid w:val="00794F49"/>
    <w:rsid w:val="00795A8A"/>
    <w:rsid w:val="0079700A"/>
    <w:rsid w:val="0079725C"/>
    <w:rsid w:val="007A0105"/>
    <w:rsid w:val="007A01B6"/>
    <w:rsid w:val="007A120B"/>
    <w:rsid w:val="007A2B3D"/>
    <w:rsid w:val="007A43DD"/>
    <w:rsid w:val="007A44F4"/>
    <w:rsid w:val="007A563D"/>
    <w:rsid w:val="007A5A4C"/>
    <w:rsid w:val="007A6C75"/>
    <w:rsid w:val="007B0401"/>
    <w:rsid w:val="007B3020"/>
    <w:rsid w:val="007B490C"/>
    <w:rsid w:val="007B5759"/>
    <w:rsid w:val="007B58E7"/>
    <w:rsid w:val="007C03C8"/>
    <w:rsid w:val="007C0570"/>
    <w:rsid w:val="007C1AB5"/>
    <w:rsid w:val="007C45DC"/>
    <w:rsid w:val="007C5C4F"/>
    <w:rsid w:val="007C67B9"/>
    <w:rsid w:val="007C6939"/>
    <w:rsid w:val="007D0E63"/>
    <w:rsid w:val="007D1262"/>
    <w:rsid w:val="007D1D17"/>
    <w:rsid w:val="007D2B4F"/>
    <w:rsid w:val="007D42EB"/>
    <w:rsid w:val="007D4362"/>
    <w:rsid w:val="007D5957"/>
    <w:rsid w:val="007D5D16"/>
    <w:rsid w:val="007E0498"/>
    <w:rsid w:val="007E35E4"/>
    <w:rsid w:val="007E48C3"/>
    <w:rsid w:val="007E6AAA"/>
    <w:rsid w:val="007E7563"/>
    <w:rsid w:val="007F08EC"/>
    <w:rsid w:val="007F0C6B"/>
    <w:rsid w:val="007F0CD1"/>
    <w:rsid w:val="007F103C"/>
    <w:rsid w:val="007F1251"/>
    <w:rsid w:val="007F2C03"/>
    <w:rsid w:val="007F657C"/>
    <w:rsid w:val="00802FDE"/>
    <w:rsid w:val="0080377E"/>
    <w:rsid w:val="008038C4"/>
    <w:rsid w:val="008041D9"/>
    <w:rsid w:val="00805282"/>
    <w:rsid w:val="008074C3"/>
    <w:rsid w:val="00810493"/>
    <w:rsid w:val="00810BC2"/>
    <w:rsid w:val="008115BD"/>
    <w:rsid w:val="00812D8F"/>
    <w:rsid w:val="00813659"/>
    <w:rsid w:val="008149E4"/>
    <w:rsid w:val="00816C4F"/>
    <w:rsid w:val="00817AF7"/>
    <w:rsid w:val="0082003E"/>
    <w:rsid w:val="00821C60"/>
    <w:rsid w:val="0082532D"/>
    <w:rsid w:val="008317F8"/>
    <w:rsid w:val="008335AB"/>
    <w:rsid w:val="0083395C"/>
    <w:rsid w:val="00834A29"/>
    <w:rsid w:val="00840A9F"/>
    <w:rsid w:val="00841F1B"/>
    <w:rsid w:val="00842437"/>
    <w:rsid w:val="00842DB0"/>
    <w:rsid w:val="00843D3C"/>
    <w:rsid w:val="00845286"/>
    <w:rsid w:val="00845972"/>
    <w:rsid w:val="00845F1F"/>
    <w:rsid w:val="0084755D"/>
    <w:rsid w:val="00850E95"/>
    <w:rsid w:val="0085141F"/>
    <w:rsid w:val="00851CFA"/>
    <w:rsid w:val="00852254"/>
    <w:rsid w:val="00853160"/>
    <w:rsid w:val="008556B9"/>
    <w:rsid w:val="00855B2A"/>
    <w:rsid w:val="00860541"/>
    <w:rsid w:val="008619F7"/>
    <w:rsid w:val="00862549"/>
    <w:rsid w:val="008657F1"/>
    <w:rsid w:val="008668D9"/>
    <w:rsid w:val="00867670"/>
    <w:rsid w:val="00870DB1"/>
    <w:rsid w:val="00871BA7"/>
    <w:rsid w:val="008722F0"/>
    <w:rsid w:val="00872714"/>
    <w:rsid w:val="00872CB5"/>
    <w:rsid w:val="00873F50"/>
    <w:rsid w:val="008745EF"/>
    <w:rsid w:val="00875CB8"/>
    <w:rsid w:val="008760AB"/>
    <w:rsid w:val="008763BC"/>
    <w:rsid w:val="00876424"/>
    <w:rsid w:val="00876DA7"/>
    <w:rsid w:val="008775B3"/>
    <w:rsid w:val="00881F68"/>
    <w:rsid w:val="008820FF"/>
    <w:rsid w:val="00883BDF"/>
    <w:rsid w:val="00885C85"/>
    <w:rsid w:val="00890A50"/>
    <w:rsid w:val="00893ED7"/>
    <w:rsid w:val="00895EC1"/>
    <w:rsid w:val="0089600E"/>
    <w:rsid w:val="008965A1"/>
    <w:rsid w:val="008A0362"/>
    <w:rsid w:val="008A1C47"/>
    <w:rsid w:val="008A1F87"/>
    <w:rsid w:val="008A3B69"/>
    <w:rsid w:val="008A502C"/>
    <w:rsid w:val="008A6180"/>
    <w:rsid w:val="008A7B57"/>
    <w:rsid w:val="008B1506"/>
    <w:rsid w:val="008B38FB"/>
    <w:rsid w:val="008B4D75"/>
    <w:rsid w:val="008B57DD"/>
    <w:rsid w:val="008B58A1"/>
    <w:rsid w:val="008B59A3"/>
    <w:rsid w:val="008B6A20"/>
    <w:rsid w:val="008B7440"/>
    <w:rsid w:val="008C18EF"/>
    <w:rsid w:val="008C442A"/>
    <w:rsid w:val="008C5EB0"/>
    <w:rsid w:val="008C5F17"/>
    <w:rsid w:val="008C661B"/>
    <w:rsid w:val="008C775B"/>
    <w:rsid w:val="008D0258"/>
    <w:rsid w:val="008D24EC"/>
    <w:rsid w:val="008D4A5D"/>
    <w:rsid w:val="008D5592"/>
    <w:rsid w:val="008D5E30"/>
    <w:rsid w:val="008D69E0"/>
    <w:rsid w:val="008D7213"/>
    <w:rsid w:val="008E1C53"/>
    <w:rsid w:val="008E1E9A"/>
    <w:rsid w:val="008E5C49"/>
    <w:rsid w:val="008E5CC7"/>
    <w:rsid w:val="008E64DC"/>
    <w:rsid w:val="008F1486"/>
    <w:rsid w:val="008F1AA9"/>
    <w:rsid w:val="008F6FF3"/>
    <w:rsid w:val="008F786B"/>
    <w:rsid w:val="008F7FC8"/>
    <w:rsid w:val="00901959"/>
    <w:rsid w:val="00901EA7"/>
    <w:rsid w:val="0090375F"/>
    <w:rsid w:val="00903C7E"/>
    <w:rsid w:val="009047FA"/>
    <w:rsid w:val="00904B85"/>
    <w:rsid w:val="00905D30"/>
    <w:rsid w:val="009075D6"/>
    <w:rsid w:val="00907A05"/>
    <w:rsid w:val="0091131A"/>
    <w:rsid w:val="009115DF"/>
    <w:rsid w:val="0091320F"/>
    <w:rsid w:val="009134B1"/>
    <w:rsid w:val="0091687C"/>
    <w:rsid w:val="009168E9"/>
    <w:rsid w:val="00916EF9"/>
    <w:rsid w:val="00920FD4"/>
    <w:rsid w:val="00924F55"/>
    <w:rsid w:val="00925464"/>
    <w:rsid w:val="0092710D"/>
    <w:rsid w:val="00927404"/>
    <w:rsid w:val="009313F4"/>
    <w:rsid w:val="009353DD"/>
    <w:rsid w:val="009366A0"/>
    <w:rsid w:val="009367B1"/>
    <w:rsid w:val="009416F9"/>
    <w:rsid w:val="00941A51"/>
    <w:rsid w:val="00950E90"/>
    <w:rsid w:val="00953170"/>
    <w:rsid w:val="00953C81"/>
    <w:rsid w:val="0095402A"/>
    <w:rsid w:val="009544DC"/>
    <w:rsid w:val="0095541B"/>
    <w:rsid w:val="00955D7B"/>
    <w:rsid w:val="00956A2F"/>
    <w:rsid w:val="00956ED1"/>
    <w:rsid w:val="00960A42"/>
    <w:rsid w:val="0096303A"/>
    <w:rsid w:val="00963219"/>
    <w:rsid w:val="0096364D"/>
    <w:rsid w:val="00967DF8"/>
    <w:rsid w:val="00970A96"/>
    <w:rsid w:val="00971D74"/>
    <w:rsid w:val="00973B2A"/>
    <w:rsid w:val="00974A18"/>
    <w:rsid w:val="009756CB"/>
    <w:rsid w:val="0098136E"/>
    <w:rsid w:val="00981E5B"/>
    <w:rsid w:val="00982C29"/>
    <w:rsid w:val="00983475"/>
    <w:rsid w:val="009838E9"/>
    <w:rsid w:val="00990312"/>
    <w:rsid w:val="00994A66"/>
    <w:rsid w:val="00996124"/>
    <w:rsid w:val="00997533"/>
    <w:rsid w:val="009A01DC"/>
    <w:rsid w:val="009A1F31"/>
    <w:rsid w:val="009A292B"/>
    <w:rsid w:val="009A2F1F"/>
    <w:rsid w:val="009A36E1"/>
    <w:rsid w:val="009A389C"/>
    <w:rsid w:val="009A3DDD"/>
    <w:rsid w:val="009A5177"/>
    <w:rsid w:val="009A5AA6"/>
    <w:rsid w:val="009A710C"/>
    <w:rsid w:val="009A7CA2"/>
    <w:rsid w:val="009A7F1D"/>
    <w:rsid w:val="009B3042"/>
    <w:rsid w:val="009B36BF"/>
    <w:rsid w:val="009B4DF2"/>
    <w:rsid w:val="009B5ABD"/>
    <w:rsid w:val="009C187E"/>
    <w:rsid w:val="009C2CA9"/>
    <w:rsid w:val="009C2EAD"/>
    <w:rsid w:val="009C5AD4"/>
    <w:rsid w:val="009C7367"/>
    <w:rsid w:val="009C743D"/>
    <w:rsid w:val="009C7B5C"/>
    <w:rsid w:val="009D4CF6"/>
    <w:rsid w:val="009D5068"/>
    <w:rsid w:val="009D5706"/>
    <w:rsid w:val="009D63A1"/>
    <w:rsid w:val="009D6B9A"/>
    <w:rsid w:val="009E0321"/>
    <w:rsid w:val="009E0A96"/>
    <w:rsid w:val="009E1844"/>
    <w:rsid w:val="009E1A12"/>
    <w:rsid w:val="009E36A3"/>
    <w:rsid w:val="009E3F58"/>
    <w:rsid w:val="009E6B0B"/>
    <w:rsid w:val="009F2A8A"/>
    <w:rsid w:val="009F2BCA"/>
    <w:rsid w:val="009F2C76"/>
    <w:rsid w:val="009F4807"/>
    <w:rsid w:val="009F4BB3"/>
    <w:rsid w:val="009F4CC5"/>
    <w:rsid w:val="009F517E"/>
    <w:rsid w:val="009F53A7"/>
    <w:rsid w:val="009F58A5"/>
    <w:rsid w:val="009F62A2"/>
    <w:rsid w:val="009F6708"/>
    <w:rsid w:val="00A014DF"/>
    <w:rsid w:val="00A017ED"/>
    <w:rsid w:val="00A043B5"/>
    <w:rsid w:val="00A06A2D"/>
    <w:rsid w:val="00A077CD"/>
    <w:rsid w:val="00A15C7F"/>
    <w:rsid w:val="00A17A7F"/>
    <w:rsid w:val="00A22D62"/>
    <w:rsid w:val="00A22D69"/>
    <w:rsid w:val="00A22E81"/>
    <w:rsid w:val="00A22FCD"/>
    <w:rsid w:val="00A23917"/>
    <w:rsid w:val="00A239BA"/>
    <w:rsid w:val="00A26E35"/>
    <w:rsid w:val="00A27B24"/>
    <w:rsid w:val="00A27CCF"/>
    <w:rsid w:val="00A32020"/>
    <w:rsid w:val="00A33369"/>
    <w:rsid w:val="00A33CAA"/>
    <w:rsid w:val="00A3535E"/>
    <w:rsid w:val="00A3722D"/>
    <w:rsid w:val="00A37E86"/>
    <w:rsid w:val="00A40964"/>
    <w:rsid w:val="00A4193B"/>
    <w:rsid w:val="00A41A29"/>
    <w:rsid w:val="00A450B2"/>
    <w:rsid w:val="00A45FDF"/>
    <w:rsid w:val="00A53752"/>
    <w:rsid w:val="00A5610B"/>
    <w:rsid w:val="00A56143"/>
    <w:rsid w:val="00A57BE0"/>
    <w:rsid w:val="00A60FF9"/>
    <w:rsid w:val="00A61814"/>
    <w:rsid w:val="00A61BE8"/>
    <w:rsid w:val="00A620BD"/>
    <w:rsid w:val="00A6343D"/>
    <w:rsid w:val="00A64307"/>
    <w:rsid w:val="00A65756"/>
    <w:rsid w:val="00A66BBC"/>
    <w:rsid w:val="00A67CA5"/>
    <w:rsid w:val="00A72E3A"/>
    <w:rsid w:val="00A73345"/>
    <w:rsid w:val="00A740C6"/>
    <w:rsid w:val="00A740C9"/>
    <w:rsid w:val="00A756FC"/>
    <w:rsid w:val="00A75A18"/>
    <w:rsid w:val="00A76C9D"/>
    <w:rsid w:val="00A77A58"/>
    <w:rsid w:val="00A810CC"/>
    <w:rsid w:val="00A85BB2"/>
    <w:rsid w:val="00A861BA"/>
    <w:rsid w:val="00A86564"/>
    <w:rsid w:val="00A8739C"/>
    <w:rsid w:val="00A911CA"/>
    <w:rsid w:val="00A91E54"/>
    <w:rsid w:val="00A9281A"/>
    <w:rsid w:val="00A92C59"/>
    <w:rsid w:val="00A94BDB"/>
    <w:rsid w:val="00A95002"/>
    <w:rsid w:val="00A95AE9"/>
    <w:rsid w:val="00A97EE3"/>
    <w:rsid w:val="00AA2679"/>
    <w:rsid w:val="00AA58FF"/>
    <w:rsid w:val="00AB32ED"/>
    <w:rsid w:val="00AB3552"/>
    <w:rsid w:val="00AB363F"/>
    <w:rsid w:val="00AB4839"/>
    <w:rsid w:val="00AB4C6C"/>
    <w:rsid w:val="00AC5559"/>
    <w:rsid w:val="00AC6F05"/>
    <w:rsid w:val="00AC731E"/>
    <w:rsid w:val="00AD387A"/>
    <w:rsid w:val="00AD5347"/>
    <w:rsid w:val="00AE02A5"/>
    <w:rsid w:val="00AE086F"/>
    <w:rsid w:val="00AE0BD6"/>
    <w:rsid w:val="00AE159F"/>
    <w:rsid w:val="00AE1FF2"/>
    <w:rsid w:val="00AE214E"/>
    <w:rsid w:val="00AE2DBB"/>
    <w:rsid w:val="00AE464D"/>
    <w:rsid w:val="00AE69CC"/>
    <w:rsid w:val="00AE6D3B"/>
    <w:rsid w:val="00AE751C"/>
    <w:rsid w:val="00AF17AA"/>
    <w:rsid w:val="00AF1CEF"/>
    <w:rsid w:val="00AF52F2"/>
    <w:rsid w:val="00AF6326"/>
    <w:rsid w:val="00AF6EA7"/>
    <w:rsid w:val="00AF7482"/>
    <w:rsid w:val="00AF7717"/>
    <w:rsid w:val="00B011D7"/>
    <w:rsid w:val="00B0185F"/>
    <w:rsid w:val="00B0231F"/>
    <w:rsid w:val="00B0639E"/>
    <w:rsid w:val="00B06B6B"/>
    <w:rsid w:val="00B154D3"/>
    <w:rsid w:val="00B158A5"/>
    <w:rsid w:val="00B16ED0"/>
    <w:rsid w:val="00B2023C"/>
    <w:rsid w:val="00B20815"/>
    <w:rsid w:val="00B20E01"/>
    <w:rsid w:val="00B217B4"/>
    <w:rsid w:val="00B22435"/>
    <w:rsid w:val="00B22A7C"/>
    <w:rsid w:val="00B24604"/>
    <w:rsid w:val="00B2675F"/>
    <w:rsid w:val="00B26B3A"/>
    <w:rsid w:val="00B27935"/>
    <w:rsid w:val="00B304F4"/>
    <w:rsid w:val="00B315AB"/>
    <w:rsid w:val="00B31F84"/>
    <w:rsid w:val="00B3205E"/>
    <w:rsid w:val="00B3405C"/>
    <w:rsid w:val="00B35D4A"/>
    <w:rsid w:val="00B37117"/>
    <w:rsid w:val="00B40A3A"/>
    <w:rsid w:val="00B41C6D"/>
    <w:rsid w:val="00B430B3"/>
    <w:rsid w:val="00B43932"/>
    <w:rsid w:val="00B44F64"/>
    <w:rsid w:val="00B454BB"/>
    <w:rsid w:val="00B505EE"/>
    <w:rsid w:val="00B50A4E"/>
    <w:rsid w:val="00B520A0"/>
    <w:rsid w:val="00B5397D"/>
    <w:rsid w:val="00B55915"/>
    <w:rsid w:val="00B562F4"/>
    <w:rsid w:val="00B56464"/>
    <w:rsid w:val="00B622FD"/>
    <w:rsid w:val="00B6277F"/>
    <w:rsid w:val="00B62DBA"/>
    <w:rsid w:val="00B63277"/>
    <w:rsid w:val="00B6356C"/>
    <w:rsid w:val="00B64772"/>
    <w:rsid w:val="00B65EAD"/>
    <w:rsid w:val="00B66443"/>
    <w:rsid w:val="00B67399"/>
    <w:rsid w:val="00B70A6C"/>
    <w:rsid w:val="00B70E4A"/>
    <w:rsid w:val="00B71E0C"/>
    <w:rsid w:val="00B743E1"/>
    <w:rsid w:val="00B760DA"/>
    <w:rsid w:val="00B76F84"/>
    <w:rsid w:val="00B802B0"/>
    <w:rsid w:val="00B81FF9"/>
    <w:rsid w:val="00B82401"/>
    <w:rsid w:val="00B8391B"/>
    <w:rsid w:val="00B83DED"/>
    <w:rsid w:val="00B85B2D"/>
    <w:rsid w:val="00B86B83"/>
    <w:rsid w:val="00B91462"/>
    <w:rsid w:val="00B919DA"/>
    <w:rsid w:val="00B91DE7"/>
    <w:rsid w:val="00B91F2C"/>
    <w:rsid w:val="00B92C43"/>
    <w:rsid w:val="00B933B5"/>
    <w:rsid w:val="00B9412D"/>
    <w:rsid w:val="00B978EA"/>
    <w:rsid w:val="00BA014C"/>
    <w:rsid w:val="00BA02AB"/>
    <w:rsid w:val="00BA0E03"/>
    <w:rsid w:val="00BA6834"/>
    <w:rsid w:val="00BA6F5C"/>
    <w:rsid w:val="00BB121B"/>
    <w:rsid w:val="00BB1E79"/>
    <w:rsid w:val="00BB2E1B"/>
    <w:rsid w:val="00BB3587"/>
    <w:rsid w:val="00BB35E8"/>
    <w:rsid w:val="00BB6314"/>
    <w:rsid w:val="00BC7A43"/>
    <w:rsid w:val="00BC7E74"/>
    <w:rsid w:val="00BC7F1A"/>
    <w:rsid w:val="00BD2290"/>
    <w:rsid w:val="00BD238E"/>
    <w:rsid w:val="00BD2BA6"/>
    <w:rsid w:val="00BD36D6"/>
    <w:rsid w:val="00BD55A4"/>
    <w:rsid w:val="00BE1DFE"/>
    <w:rsid w:val="00BE53BB"/>
    <w:rsid w:val="00BE5D6E"/>
    <w:rsid w:val="00BE7629"/>
    <w:rsid w:val="00BF0A16"/>
    <w:rsid w:val="00BF117C"/>
    <w:rsid w:val="00BF30B0"/>
    <w:rsid w:val="00BF3215"/>
    <w:rsid w:val="00BF37FF"/>
    <w:rsid w:val="00BF42FC"/>
    <w:rsid w:val="00BF471E"/>
    <w:rsid w:val="00BF565A"/>
    <w:rsid w:val="00BF5770"/>
    <w:rsid w:val="00BF5F25"/>
    <w:rsid w:val="00BF7234"/>
    <w:rsid w:val="00C01E8F"/>
    <w:rsid w:val="00C03CAC"/>
    <w:rsid w:val="00C04C9B"/>
    <w:rsid w:val="00C0574E"/>
    <w:rsid w:val="00C05E8C"/>
    <w:rsid w:val="00C05EF2"/>
    <w:rsid w:val="00C06787"/>
    <w:rsid w:val="00C0785A"/>
    <w:rsid w:val="00C07ABD"/>
    <w:rsid w:val="00C11EF1"/>
    <w:rsid w:val="00C1377B"/>
    <w:rsid w:val="00C171C3"/>
    <w:rsid w:val="00C1748B"/>
    <w:rsid w:val="00C1763D"/>
    <w:rsid w:val="00C2173B"/>
    <w:rsid w:val="00C21A6C"/>
    <w:rsid w:val="00C2267B"/>
    <w:rsid w:val="00C2575B"/>
    <w:rsid w:val="00C261CA"/>
    <w:rsid w:val="00C2625C"/>
    <w:rsid w:val="00C309F9"/>
    <w:rsid w:val="00C3235E"/>
    <w:rsid w:val="00C32930"/>
    <w:rsid w:val="00C32F45"/>
    <w:rsid w:val="00C3606F"/>
    <w:rsid w:val="00C37478"/>
    <w:rsid w:val="00C37C05"/>
    <w:rsid w:val="00C41B62"/>
    <w:rsid w:val="00C41D23"/>
    <w:rsid w:val="00C422F3"/>
    <w:rsid w:val="00C42A68"/>
    <w:rsid w:val="00C44740"/>
    <w:rsid w:val="00C44D45"/>
    <w:rsid w:val="00C455AF"/>
    <w:rsid w:val="00C467E2"/>
    <w:rsid w:val="00C47984"/>
    <w:rsid w:val="00C5062F"/>
    <w:rsid w:val="00C53108"/>
    <w:rsid w:val="00C533EC"/>
    <w:rsid w:val="00C53AAC"/>
    <w:rsid w:val="00C553F6"/>
    <w:rsid w:val="00C563B2"/>
    <w:rsid w:val="00C573B6"/>
    <w:rsid w:val="00C57B65"/>
    <w:rsid w:val="00C6132A"/>
    <w:rsid w:val="00C61BCD"/>
    <w:rsid w:val="00C62DB3"/>
    <w:rsid w:val="00C65BDA"/>
    <w:rsid w:val="00C67540"/>
    <w:rsid w:val="00C71048"/>
    <w:rsid w:val="00C72A21"/>
    <w:rsid w:val="00C744AD"/>
    <w:rsid w:val="00C76DDE"/>
    <w:rsid w:val="00C76E04"/>
    <w:rsid w:val="00C77E37"/>
    <w:rsid w:val="00C80312"/>
    <w:rsid w:val="00C8063E"/>
    <w:rsid w:val="00C81255"/>
    <w:rsid w:val="00C818A7"/>
    <w:rsid w:val="00C84607"/>
    <w:rsid w:val="00C865BA"/>
    <w:rsid w:val="00C866A0"/>
    <w:rsid w:val="00C86FCD"/>
    <w:rsid w:val="00C9159B"/>
    <w:rsid w:val="00C92E3C"/>
    <w:rsid w:val="00C93C51"/>
    <w:rsid w:val="00C9686A"/>
    <w:rsid w:val="00CA1ED6"/>
    <w:rsid w:val="00CA2369"/>
    <w:rsid w:val="00CA28C1"/>
    <w:rsid w:val="00CA5923"/>
    <w:rsid w:val="00CA5D59"/>
    <w:rsid w:val="00CA7875"/>
    <w:rsid w:val="00CB25F2"/>
    <w:rsid w:val="00CB6839"/>
    <w:rsid w:val="00CB737B"/>
    <w:rsid w:val="00CC009D"/>
    <w:rsid w:val="00CC094E"/>
    <w:rsid w:val="00CC0DD9"/>
    <w:rsid w:val="00CC2AC8"/>
    <w:rsid w:val="00CC2E3B"/>
    <w:rsid w:val="00CC4D2F"/>
    <w:rsid w:val="00CC506D"/>
    <w:rsid w:val="00CC6089"/>
    <w:rsid w:val="00CC6858"/>
    <w:rsid w:val="00CC769C"/>
    <w:rsid w:val="00CD24B1"/>
    <w:rsid w:val="00CD27AD"/>
    <w:rsid w:val="00CD3724"/>
    <w:rsid w:val="00CD3CCF"/>
    <w:rsid w:val="00CD4E13"/>
    <w:rsid w:val="00CD6707"/>
    <w:rsid w:val="00CD67FD"/>
    <w:rsid w:val="00CD79B2"/>
    <w:rsid w:val="00CE08B8"/>
    <w:rsid w:val="00CE2DCD"/>
    <w:rsid w:val="00CE3CD6"/>
    <w:rsid w:val="00CE3EDD"/>
    <w:rsid w:val="00CE4445"/>
    <w:rsid w:val="00CE49D2"/>
    <w:rsid w:val="00CE5D7D"/>
    <w:rsid w:val="00CE5E81"/>
    <w:rsid w:val="00CE6DC9"/>
    <w:rsid w:val="00CF00DC"/>
    <w:rsid w:val="00CF00F2"/>
    <w:rsid w:val="00CF0213"/>
    <w:rsid w:val="00CF0A9B"/>
    <w:rsid w:val="00CF0FB2"/>
    <w:rsid w:val="00CF1C9F"/>
    <w:rsid w:val="00CF1D28"/>
    <w:rsid w:val="00CF3740"/>
    <w:rsid w:val="00CF3F84"/>
    <w:rsid w:val="00CF627D"/>
    <w:rsid w:val="00CF75A6"/>
    <w:rsid w:val="00D0202C"/>
    <w:rsid w:val="00D02F6B"/>
    <w:rsid w:val="00D04A9D"/>
    <w:rsid w:val="00D055E3"/>
    <w:rsid w:val="00D10255"/>
    <w:rsid w:val="00D13FCA"/>
    <w:rsid w:val="00D202B4"/>
    <w:rsid w:val="00D20E63"/>
    <w:rsid w:val="00D21430"/>
    <w:rsid w:val="00D23728"/>
    <w:rsid w:val="00D23787"/>
    <w:rsid w:val="00D30A7B"/>
    <w:rsid w:val="00D31133"/>
    <w:rsid w:val="00D32F69"/>
    <w:rsid w:val="00D349DE"/>
    <w:rsid w:val="00D35ACF"/>
    <w:rsid w:val="00D35DA7"/>
    <w:rsid w:val="00D369AA"/>
    <w:rsid w:val="00D415BA"/>
    <w:rsid w:val="00D418AC"/>
    <w:rsid w:val="00D41C5F"/>
    <w:rsid w:val="00D44696"/>
    <w:rsid w:val="00D45E65"/>
    <w:rsid w:val="00D45FC4"/>
    <w:rsid w:val="00D472F5"/>
    <w:rsid w:val="00D4784B"/>
    <w:rsid w:val="00D47B5A"/>
    <w:rsid w:val="00D47C93"/>
    <w:rsid w:val="00D47FA2"/>
    <w:rsid w:val="00D526D5"/>
    <w:rsid w:val="00D52815"/>
    <w:rsid w:val="00D56895"/>
    <w:rsid w:val="00D57AC0"/>
    <w:rsid w:val="00D57AC6"/>
    <w:rsid w:val="00D601EA"/>
    <w:rsid w:val="00D61DF7"/>
    <w:rsid w:val="00D623B2"/>
    <w:rsid w:val="00D6262E"/>
    <w:rsid w:val="00D62E8C"/>
    <w:rsid w:val="00D63A63"/>
    <w:rsid w:val="00D63D60"/>
    <w:rsid w:val="00D6543F"/>
    <w:rsid w:val="00D7050B"/>
    <w:rsid w:val="00D72AC6"/>
    <w:rsid w:val="00D750FB"/>
    <w:rsid w:val="00D76564"/>
    <w:rsid w:val="00D77B44"/>
    <w:rsid w:val="00D77E3E"/>
    <w:rsid w:val="00D81BE2"/>
    <w:rsid w:val="00D81C9B"/>
    <w:rsid w:val="00D82FD6"/>
    <w:rsid w:val="00D833E4"/>
    <w:rsid w:val="00D84AE4"/>
    <w:rsid w:val="00D84CCC"/>
    <w:rsid w:val="00D8674D"/>
    <w:rsid w:val="00D91753"/>
    <w:rsid w:val="00DA0302"/>
    <w:rsid w:val="00DA0A6A"/>
    <w:rsid w:val="00DA113C"/>
    <w:rsid w:val="00DA1450"/>
    <w:rsid w:val="00DA2E51"/>
    <w:rsid w:val="00DA2FDE"/>
    <w:rsid w:val="00DA347E"/>
    <w:rsid w:val="00DA4616"/>
    <w:rsid w:val="00DA542B"/>
    <w:rsid w:val="00DA6E89"/>
    <w:rsid w:val="00DA7661"/>
    <w:rsid w:val="00DA76EF"/>
    <w:rsid w:val="00DB052B"/>
    <w:rsid w:val="00DB3B3F"/>
    <w:rsid w:val="00DB6307"/>
    <w:rsid w:val="00DB7559"/>
    <w:rsid w:val="00DB7669"/>
    <w:rsid w:val="00DB7C70"/>
    <w:rsid w:val="00DB7F0D"/>
    <w:rsid w:val="00DC043D"/>
    <w:rsid w:val="00DC0541"/>
    <w:rsid w:val="00DC1793"/>
    <w:rsid w:val="00DC2011"/>
    <w:rsid w:val="00DC69B5"/>
    <w:rsid w:val="00DC739C"/>
    <w:rsid w:val="00DD1353"/>
    <w:rsid w:val="00DD350A"/>
    <w:rsid w:val="00DD3BFA"/>
    <w:rsid w:val="00DD3E5E"/>
    <w:rsid w:val="00DD52AD"/>
    <w:rsid w:val="00DD5372"/>
    <w:rsid w:val="00DD655E"/>
    <w:rsid w:val="00DD6B09"/>
    <w:rsid w:val="00DD6C81"/>
    <w:rsid w:val="00DD7573"/>
    <w:rsid w:val="00DE0051"/>
    <w:rsid w:val="00DE10D1"/>
    <w:rsid w:val="00DE3655"/>
    <w:rsid w:val="00DE4EDE"/>
    <w:rsid w:val="00DE609E"/>
    <w:rsid w:val="00DE655B"/>
    <w:rsid w:val="00DE6A9F"/>
    <w:rsid w:val="00DF12EE"/>
    <w:rsid w:val="00DF23D6"/>
    <w:rsid w:val="00DF265C"/>
    <w:rsid w:val="00DF323F"/>
    <w:rsid w:val="00DF3E78"/>
    <w:rsid w:val="00DF476F"/>
    <w:rsid w:val="00DF4AD6"/>
    <w:rsid w:val="00DF7585"/>
    <w:rsid w:val="00DF790A"/>
    <w:rsid w:val="00E00476"/>
    <w:rsid w:val="00E0047A"/>
    <w:rsid w:val="00E01A11"/>
    <w:rsid w:val="00E0243C"/>
    <w:rsid w:val="00E04E62"/>
    <w:rsid w:val="00E055B7"/>
    <w:rsid w:val="00E059AC"/>
    <w:rsid w:val="00E068F5"/>
    <w:rsid w:val="00E103AE"/>
    <w:rsid w:val="00E10402"/>
    <w:rsid w:val="00E12794"/>
    <w:rsid w:val="00E13822"/>
    <w:rsid w:val="00E13E89"/>
    <w:rsid w:val="00E1520D"/>
    <w:rsid w:val="00E16B5F"/>
    <w:rsid w:val="00E20E6F"/>
    <w:rsid w:val="00E21A42"/>
    <w:rsid w:val="00E2210C"/>
    <w:rsid w:val="00E23B87"/>
    <w:rsid w:val="00E25799"/>
    <w:rsid w:val="00E25E5F"/>
    <w:rsid w:val="00E26378"/>
    <w:rsid w:val="00E2648C"/>
    <w:rsid w:val="00E273A8"/>
    <w:rsid w:val="00E27C40"/>
    <w:rsid w:val="00E30525"/>
    <w:rsid w:val="00E31A21"/>
    <w:rsid w:val="00E31D13"/>
    <w:rsid w:val="00E36143"/>
    <w:rsid w:val="00E36485"/>
    <w:rsid w:val="00E4152F"/>
    <w:rsid w:val="00E446F5"/>
    <w:rsid w:val="00E45E48"/>
    <w:rsid w:val="00E46951"/>
    <w:rsid w:val="00E47E74"/>
    <w:rsid w:val="00E51A4C"/>
    <w:rsid w:val="00E527D4"/>
    <w:rsid w:val="00E52B0D"/>
    <w:rsid w:val="00E52B8A"/>
    <w:rsid w:val="00E52E0D"/>
    <w:rsid w:val="00E534F1"/>
    <w:rsid w:val="00E539BD"/>
    <w:rsid w:val="00E548B0"/>
    <w:rsid w:val="00E636D8"/>
    <w:rsid w:val="00E647BF"/>
    <w:rsid w:val="00E676AC"/>
    <w:rsid w:val="00E72BBC"/>
    <w:rsid w:val="00E73017"/>
    <w:rsid w:val="00E76CEB"/>
    <w:rsid w:val="00E7796D"/>
    <w:rsid w:val="00E77DBD"/>
    <w:rsid w:val="00E805E4"/>
    <w:rsid w:val="00E81F5C"/>
    <w:rsid w:val="00E822E8"/>
    <w:rsid w:val="00E82AF6"/>
    <w:rsid w:val="00E83121"/>
    <w:rsid w:val="00E84393"/>
    <w:rsid w:val="00E84460"/>
    <w:rsid w:val="00E85933"/>
    <w:rsid w:val="00E8669F"/>
    <w:rsid w:val="00E86B80"/>
    <w:rsid w:val="00E871E9"/>
    <w:rsid w:val="00E9187B"/>
    <w:rsid w:val="00E929C3"/>
    <w:rsid w:val="00E94F91"/>
    <w:rsid w:val="00E96350"/>
    <w:rsid w:val="00E97809"/>
    <w:rsid w:val="00EA071E"/>
    <w:rsid w:val="00EA1A1A"/>
    <w:rsid w:val="00EA1A1C"/>
    <w:rsid w:val="00EA1F32"/>
    <w:rsid w:val="00EA2704"/>
    <w:rsid w:val="00EA2864"/>
    <w:rsid w:val="00EA2E07"/>
    <w:rsid w:val="00EA346A"/>
    <w:rsid w:val="00EA7507"/>
    <w:rsid w:val="00EB0ACB"/>
    <w:rsid w:val="00EB1643"/>
    <w:rsid w:val="00EB19B7"/>
    <w:rsid w:val="00EB2F1C"/>
    <w:rsid w:val="00EB3B64"/>
    <w:rsid w:val="00EB569B"/>
    <w:rsid w:val="00EB6D4B"/>
    <w:rsid w:val="00EB705A"/>
    <w:rsid w:val="00EC106D"/>
    <w:rsid w:val="00EC207F"/>
    <w:rsid w:val="00EC4A65"/>
    <w:rsid w:val="00EC629F"/>
    <w:rsid w:val="00EC6B04"/>
    <w:rsid w:val="00ED05DD"/>
    <w:rsid w:val="00ED0F38"/>
    <w:rsid w:val="00ED1F4B"/>
    <w:rsid w:val="00ED2C02"/>
    <w:rsid w:val="00ED5F34"/>
    <w:rsid w:val="00ED6649"/>
    <w:rsid w:val="00EE04BD"/>
    <w:rsid w:val="00EE3482"/>
    <w:rsid w:val="00EE3899"/>
    <w:rsid w:val="00EE3BB2"/>
    <w:rsid w:val="00EE4A44"/>
    <w:rsid w:val="00EE67C4"/>
    <w:rsid w:val="00EE6E78"/>
    <w:rsid w:val="00EE7A03"/>
    <w:rsid w:val="00EF23DD"/>
    <w:rsid w:val="00EF2ED6"/>
    <w:rsid w:val="00EF352D"/>
    <w:rsid w:val="00EF3D5B"/>
    <w:rsid w:val="00EF3E33"/>
    <w:rsid w:val="00EF5739"/>
    <w:rsid w:val="00EF717D"/>
    <w:rsid w:val="00F00519"/>
    <w:rsid w:val="00F016CF"/>
    <w:rsid w:val="00F01F63"/>
    <w:rsid w:val="00F02173"/>
    <w:rsid w:val="00F02DA9"/>
    <w:rsid w:val="00F03BCD"/>
    <w:rsid w:val="00F0447F"/>
    <w:rsid w:val="00F04D3A"/>
    <w:rsid w:val="00F108F8"/>
    <w:rsid w:val="00F12191"/>
    <w:rsid w:val="00F13842"/>
    <w:rsid w:val="00F140DF"/>
    <w:rsid w:val="00F174F6"/>
    <w:rsid w:val="00F209FF"/>
    <w:rsid w:val="00F2128D"/>
    <w:rsid w:val="00F21E78"/>
    <w:rsid w:val="00F22425"/>
    <w:rsid w:val="00F22750"/>
    <w:rsid w:val="00F22D1B"/>
    <w:rsid w:val="00F23687"/>
    <w:rsid w:val="00F25F5B"/>
    <w:rsid w:val="00F308BC"/>
    <w:rsid w:val="00F31AED"/>
    <w:rsid w:val="00F31BB1"/>
    <w:rsid w:val="00F321FF"/>
    <w:rsid w:val="00F32B84"/>
    <w:rsid w:val="00F332BF"/>
    <w:rsid w:val="00F33303"/>
    <w:rsid w:val="00F346F3"/>
    <w:rsid w:val="00F3490D"/>
    <w:rsid w:val="00F361C3"/>
    <w:rsid w:val="00F41887"/>
    <w:rsid w:val="00F420C7"/>
    <w:rsid w:val="00F45670"/>
    <w:rsid w:val="00F459CB"/>
    <w:rsid w:val="00F45A6F"/>
    <w:rsid w:val="00F46BF9"/>
    <w:rsid w:val="00F47755"/>
    <w:rsid w:val="00F51AF0"/>
    <w:rsid w:val="00F523A1"/>
    <w:rsid w:val="00F528AD"/>
    <w:rsid w:val="00F53377"/>
    <w:rsid w:val="00F53689"/>
    <w:rsid w:val="00F542FE"/>
    <w:rsid w:val="00F60A7C"/>
    <w:rsid w:val="00F62075"/>
    <w:rsid w:val="00F63038"/>
    <w:rsid w:val="00F64630"/>
    <w:rsid w:val="00F6482C"/>
    <w:rsid w:val="00F64C9F"/>
    <w:rsid w:val="00F651E7"/>
    <w:rsid w:val="00F72A64"/>
    <w:rsid w:val="00F72D55"/>
    <w:rsid w:val="00F75243"/>
    <w:rsid w:val="00F75F4E"/>
    <w:rsid w:val="00F772B3"/>
    <w:rsid w:val="00F774A9"/>
    <w:rsid w:val="00F8562B"/>
    <w:rsid w:val="00F86BC5"/>
    <w:rsid w:val="00F90A11"/>
    <w:rsid w:val="00F933E2"/>
    <w:rsid w:val="00F94179"/>
    <w:rsid w:val="00F94AA3"/>
    <w:rsid w:val="00F94AD3"/>
    <w:rsid w:val="00F96FE7"/>
    <w:rsid w:val="00F97C12"/>
    <w:rsid w:val="00FA0B43"/>
    <w:rsid w:val="00FA3156"/>
    <w:rsid w:val="00FA6780"/>
    <w:rsid w:val="00FA67D8"/>
    <w:rsid w:val="00FB21AB"/>
    <w:rsid w:val="00FB38E5"/>
    <w:rsid w:val="00FB3F5B"/>
    <w:rsid w:val="00FB4C34"/>
    <w:rsid w:val="00FB555E"/>
    <w:rsid w:val="00FB6A7F"/>
    <w:rsid w:val="00FC2D7C"/>
    <w:rsid w:val="00FC32C5"/>
    <w:rsid w:val="00FC36BA"/>
    <w:rsid w:val="00FC3771"/>
    <w:rsid w:val="00FC3A3E"/>
    <w:rsid w:val="00FC69DB"/>
    <w:rsid w:val="00FC6E42"/>
    <w:rsid w:val="00FD1EF7"/>
    <w:rsid w:val="00FD2E64"/>
    <w:rsid w:val="00FD34F1"/>
    <w:rsid w:val="00FD483B"/>
    <w:rsid w:val="00FD4E29"/>
    <w:rsid w:val="00FD5E5B"/>
    <w:rsid w:val="00FD628E"/>
    <w:rsid w:val="00FD7373"/>
    <w:rsid w:val="00FD7970"/>
    <w:rsid w:val="00FD7DA1"/>
    <w:rsid w:val="00FE07C6"/>
    <w:rsid w:val="00FE0A4F"/>
    <w:rsid w:val="00FE0D5B"/>
    <w:rsid w:val="00FE1D7A"/>
    <w:rsid w:val="00FE263C"/>
    <w:rsid w:val="00FE28ED"/>
    <w:rsid w:val="00FE45D4"/>
    <w:rsid w:val="00FE585B"/>
    <w:rsid w:val="00FE65BA"/>
    <w:rsid w:val="00FE70AC"/>
    <w:rsid w:val="00FE73FC"/>
    <w:rsid w:val="00FE76FD"/>
    <w:rsid w:val="00FF0A84"/>
    <w:rsid w:val="00FF2C00"/>
    <w:rsid w:val="00FF364C"/>
    <w:rsid w:val="00FF382B"/>
    <w:rsid w:val="00FF49EB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1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34"/>
  </w:style>
  <w:style w:type="paragraph" w:styleId="Footer">
    <w:name w:val="footer"/>
    <w:basedOn w:val="Normal"/>
    <w:link w:val="FooterChar"/>
    <w:uiPriority w:val="99"/>
    <w:unhideWhenUsed/>
    <w:rsid w:val="00BF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34"/>
  </w:style>
  <w:style w:type="table" w:styleId="TableGrid">
    <w:name w:val="Table Grid"/>
    <w:basedOn w:val="TableNormal"/>
    <w:uiPriority w:val="59"/>
    <w:rsid w:val="0010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C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024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0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302"/>
    <w:rPr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01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42958"/>
    <w:pPr>
      <w:numPr>
        <w:numId w:val="2"/>
      </w:numPr>
      <w:contextualSpacing/>
    </w:pPr>
  </w:style>
  <w:style w:type="table" w:styleId="LightList-Accent1">
    <w:name w:val="Light List Accent 1"/>
    <w:basedOn w:val="TableNormal"/>
    <w:uiPriority w:val="61"/>
    <w:rsid w:val="002E2F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yle1">
    <w:name w:val="Style1"/>
    <w:basedOn w:val="TableNormal"/>
    <w:uiPriority w:val="99"/>
    <w:rsid w:val="002E2F0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5128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LineNumber">
    <w:name w:val="line number"/>
    <w:basedOn w:val="DefaultParagraphFont"/>
    <w:uiPriority w:val="99"/>
    <w:semiHidden/>
    <w:unhideWhenUsed/>
    <w:rsid w:val="009E1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34"/>
  </w:style>
  <w:style w:type="paragraph" w:styleId="Footer">
    <w:name w:val="footer"/>
    <w:basedOn w:val="Normal"/>
    <w:link w:val="FooterChar"/>
    <w:uiPriority w:val="99"/>
    <w:unhideWhenUsed/>
    <w:rsid w:val="00BF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34"/>
  </w:style>
  <w:style w:type="table" w:styleId="TableGrid">
    <w:name w:val="Table Grid"/>
    <w:basedOn w:val="TableNormal"/>
    <w:uiPriority w:val="59"/>
    <w:rsid w:val="0010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C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024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0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302"/>
    <w:rPr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01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42958"/>
    <w:pPr>
      <w:numPr>
        <w:numId w:val="2"/>
      </w:numPr>
      <w:contextualSpacing/>
    </w:pPr>
  </w:style>
  <w:style w:type="table" w:styleId="LightList-Accent1">
    <w:name w:val="Light List Accent 1"/>
    <w:basedOn w:val="TableNormal"/>
    <w:uiPriority w:val="61"/>
    <w:rsid w:val="002E2F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yle1">
    <w:name w:val="Style1"/>
    <w:basedOn w:val="TableNormal"/>
    <w:uiPriority w:val="99"/>
    <w:rsid w:val="002E2F0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5128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LineNumber">
    <w:name w:val="line number"/>
    <w:basedOn w:val="DefaultParagraphFont"/>
    <w:uiPriority w:val="99"/>
    <w:semiHidden/>
    <w:unhideWhenUsed/>
    <w:rsid w:val="009E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96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9276302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://www.insilico.eu/cora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hyperlink" Target="http://toxtree.sourceforge.net/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ec.europa.eu/food/safety/rasff/portal/index_en.htm" TargetMode="Externa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yperlink" Target="http://www.echa.europa.eu" TargetMode="Externa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25094646958325"/>
          <c:y val="4.2267001960141881E-2"/>
          <c:w val="0.66482970442019373"/>
          <c:h val="0.860694508471811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Negative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Toxtree</c:v>
                </c:pt>
                <c:pt idx="1">
                  <c:v>VEGA</c:v>
                </c:pt>
                <c:pt idx="2">
                  <c:v>Derek</c:v>
                </c:pt>
                <c:pt idx="3">
                  <c:v>Sarah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1357</c:v>
                </c:pt>
                <c:pt idx="1">
                  <c:v>615</c:v>
                </c:pt>
                <c:pt idx="2">
                  <c:v>1364</c:v>
                </c:pt>
                <c:pt idx="3">
                  <c:v>1425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Undefined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Toxtree</c:v>
                </c:pt>
                <c:pt idx="1">
                  <c:v>VEGA</c:v>
                </c:pt>
                <c:pt idx="2">
                  <c:v>Derek</c:v>
                </c:pt>
                <c:pt idx="3">
                  <c:v>Sarah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758</c:v>
                </c:pt>
                <c:pt idx="2">
                  <c:v>104</c:v>
                </c:pt>
                <c:pt idx="3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Positive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Toxtree</c:v>
                </c:pt>
                <c:pt idx="1">
                  <c:v>VEGA</c:v>
                </c:pt>
                <c:pt idx="2">
                  <c:v>Derek</c:v>
                </c:pt>
                <c:pt idx="3">
                  <c:v>Sarah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366</c:v>
                </c:pt>
                <c:pt idx="1">
                  <c:v>350</c:v>
                </c:pt>
                <c:pt idx="2">
                  <c:v>255</c:v>
                </c:pt>
                <c:pt idx="3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51274624"/>
        <c:axId val="151276544"/>
      </c:barChart>
      <c:catAx>
        <c:axId val="151274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(Q)SAR</a:t>
                </a:r>
              </a:p>
            </c:rich>
          </c:tx>
          <c:layout>
            <c:manualLayout>
              <c:xMode val="edge"/>
              <c:yMode val="edge"/>
              <c:x val="0.82146074350088272"/>
              <c:y val="0.8680402182239358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51276544"/>
        <c:crosses val="autoZero"/>
        <c:auto val="1"/>
        <c:lblAlgn val="ctr"/>
        <c:lblOffset val="100"/>
        <c:noMultiLvlLbl val="0"/>
      </c:catAx>
      <c:valAx>
        <c:axId val="151276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Count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27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182794146500376E-2"/>
          <c:y val="4.4310448036100757E-2"/>
          <c:w val="0.52619896471274419"/>
          <c:h val="0.75933248880167581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Positive in 4 (#106)</c:v>
                </c:pt>
                <c:pt idx="1">
                  <c:v>Positive in 3 (#128)</c:v>
                </c:pt>
                <c:pt idx="2">
                  <c:v>Positive in 2 (#94)</c:v>
                </c:pt>
                <c:pt idx="3">
                  <c:v>Positive in 1 (#204)</c:v>
                </c:pt>
                <c:pt idx="4">
                  <c:v>Negative in 4, with restrictions (#619)</c:v>
                </c:pt>
                <c:pt idx="5">
                  <c:v>Negative in 4 (#572)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106</c:v>
                </c:pt>
                <c:pt idx="1">
                  <c:v>128</c:v>
                </c:pt>
                <c:pt idx="2">
                  <c:v>94</c:v>
                </c:pt>
                <c:pt idx="3">
                  <c:v>204</c:v>
                </c:pt>
                <c:pt idx="4">
                  <c:v>619</c:v>
                </c:pt>
                <c:pt idx="5">
                  <c:v>572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1"/>
          <c:secondPiePt val="2"/>
          <c:secondPiePt val="3"/>
          <c:secondPiePt val="4"/>
        </c:custSplit>
        <c:secondPieSize val="75"/>
        <c:serLines/>
      </c:ofPieChart>
    </c:plotArea>
    <c:legend>
      <c:legendPos val="r"/>
      <c:layout>
        <c:manualLayout>
          <c:xMode val="edge"/>
          <c:yMode val="edge"/>
          <c:x val="0.59110147374032407"/>
          <c:y val="0.10612147165814799"/>
          <c:w val="0.39500966984390107"/>
          <c:h val="0.6357100275714746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99C619-4726-4423-B8EF-97BEA66EC8F9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1317392-51F8-4225-BD5F-A79A6FA58133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 lIns="0" rIns="0"/>
        <a:lstStyle/>
        <a:p>
          <a:r>
            <a:rPr lang="en-GB" sz="900">
              <a:solidFill>
                <a:sysClr val="windowText" lastClr="000000"/>
              </a:solidFill>
            </a:rPr>
            <a:t>Printed paper and board substances (#6073)</a:t>
          </a:r>
        </a:p>
      </dgm:t>
    </dgm:pt>
    <dgm:pt modelId="{C23C6E44-4D17-4425-8D15-968BB21D9DB9}" type="parTrans" cxnId="{38A2139D-44A6-466D-8B54-693DADC80645}">
      <dgm:prSet/>
      <dgm:spPr/>
      <dgm:t>
        <a:bodyPr/>
        <a:lstStyle/>
        <a:p>
          <a:endParaRPr lang="en-GB"/>
        </a:p>
      </dgm:t>
    </dgm:pt>
    <dgm:pt modelId="{2F15BECE-6FD1-4C48-88EF-93FC4879C8EE}" type="sibTrans" cxnId="{38A2139D-44A6-466D-8B54-693DADC80645}">
      <dgm:prSet/>
      <dgm:spPr/>
      <dgm:t>
        <a:bodyPr/>
        <a:lstStyle/>
        <a:p>
          <a:endParaRPr lang="en-GB"/>
        </a:p>
      </dgm:t>
    </dgm:pt>
    <dgm:pt modelId="{6C5E7585-4095-415C-BC34-1A3109945F91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 lIns="0" rIns="0"/>
        <a:lstStyle/>
        <a:p>
          <a:r>
            <a:rPr lang="en-GB" sz="900">
              <a:solidFill>
                <a:sysClr val="windowText" lastClr="000000"/>
              </a:solidFill>
            </a:rPr>
            <a:t>Non-evaluated substances (#4690)</a:t>
          </a:r>
        </a:p>
      </dgm:t>
    </dgm:pt>
    <dgm:pt modelId="{E1B54BB7-3F38-4C07-A1CB-08E4A7C8B3C1}" type="parTrans" cxnId="{ED31D6F5-15F5-4F33-974C-4809C57A91A3}">
      <dgm:prSet/>
      <dgm:spPr/>
      <dgm:t>
        <a:bodyPr/>
        <a:lstStyle/>
        <a:p>
          <a:endParaRPr lang="en-GB"/>
        </a:p>
      </dgm:t>
    </dgm:pt>
    <dgm:pt modelId="{E93553B1-C105-4734-94A0-70E9F632D7D7}" type="sibTrans" cxnId="{ED31D6F5-15F5-4F33-974C-4809C57A91A3}">
      <dgm:prSet/>
      <dgm:spPr/>
      <dgm:t>
        <a:bodyPr/>
        <a:lstStyle/>
        <a:p>
          <a:endParaRPr lang="en-GB"/>
        </a:p>
      </dgm:t>
    </dgm:pt>
    <dgm:pt modelId="{224FBA95-1D26-4C5D-BF42-1505339D252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 lIns="0" rIns="0"/>
        <a:lstStyle/>
        <a:p>
          <a:r>
            <a:rPr lang="en-GB" sz="900">
              <a:solidFill>
                <a:sysClr val="windowText" lastClr="000000"/>
              </a:solidFill>
            </a:rPr>
            <a:t>Non-evaluated single substances (#1769)</a:t>
          </a:r>
        </a:p>
      </dgm:t>
    </dgm:pt>
    <dgm:pt modelId="{EFBD645C-F9E9-4131-8823-A4A86BBE4EF0}" type="parTrans" cxnId="{C90991EE-D4F3-4BFE-873E-B644DCCE4F00}">
      <dgm:prSet/>
      <dgm:spPr/>
      <dgm:t>
        <a:bodyPr/>
        <a:lstStyle/>
        <a:p>
          <a:endParaRPr lang="en-GB"/>
        </a:p>
      </dgm:t>
    </dgm:pt>
    <dgm:pt modelId="{DBAEA09D-F4F3-4CF9-9F7E-988CC66D3E8B}" type="sibTrans" cxnId="{C90991EE-D4F3-4BFE-873E-B644DCCE4F00}">
      <dgm:prSet/>
      <dgm:spPr/>
      <dgm:t>
        <a:bodyPr/>
        <a:lstStyle/>
        <a:p>
          <a:endParaRPr lang="en-GB"/>
        </a:p>
      </dgm:t>
    </dgm:pt>
    <dgm:pt modelId="{BAD4CF5B-628D-4906-9678-7E3F4E7886C6}">
      <dgm:prSet phldrT="[Text]" custT="1"/>
      <dgm:spPr>
        <a:solidFill>
          <a:schemeClr val="accent1"/>
        </a:solidFill>
      </dgm:spPr>
      <dgm:t>
        <a:bodyPr lIns="0" rIns="0"/>
        <a:lstStyle/>
        <a:p>
          <a:r>
            <a:rPr lang="en-GB" sz="900">
              <a:solidFill>
                <a:sysClr val="windowText" lastClr="000000"/>
              </a:solidFill>
            </a:rPr>
            <a:t>Non-evaluated single substances with CAS no. and SMILES (#1723)</a:t>
          </a:r>
        </a:p>
      </dgm:t>
    </dgm:pt>
    <dgm:pt modelId="{3EDA5019-378A-4F2F-81D6-8EDF58EBB3EF}" type="parTrans" cxnId="{C0508417-2338-427B-8EE4-89E4755D8195}">
      <dgm:prSet/>
      <dgm:spPr/>
      <dgm:t>
        <a:bodyPr/>
        <a:lstStyle/>
        <a:p>
          <a:endParaRPr lang="en-GB"/>
        </a:p>
      </dgm:t>
    </dgm:pt>
    <dgm:pt modelId="{BEEC329E-88CB-4FB7-8F06-BB8DAF7454F2}" type="sibTrans" cxnId="{C0508417-2338-427B-8EE4-89E4755D8195}">
      <dgm:prSet/>
      <dgm:spPr/>
      <dgm:t>
        <a:bodyPr/>
        <a:lstStyle/>
        <a:p>
          <a:endParaRPr lang="en-GB"/>
        </a:p>
      </dgm:t>
    </dgm:pt>
    <dgm:pt modelId="{15B3B9D1-C7A0-4BDA-8BB2-1CA72B5F41A6}" type="pres">
      <dgm:prSet presAssocID="{6999C619-4726-4423-B8EF-97BEA66EC8F9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951CCA6-4F63-4C37-87D8-2A5D2888B6FE}" type="pres">
      <dgm:prSet presAssocID="{6999C619-4726-4423-B8EF-97BEA66EC8F9}" presName="comp1" presStyleCnt="0"/>
      <dgm:spPr/>
    </dgm:pt>
    <dgm:pt modelId="{271A2EA4-5B48-46E0-B466-03B672FF5C80}" type="pres">
      <dgm:prSet presAssocID="{6999C619-4726-4423-B8EF-97BEA66EC8F9}" presName="circle1" presStyleLbl="node1" presStyleIdx="0" presStyleCnt="4"/>
      <dgm:spPr/>
      <dgm:t>
        <a:bodyPr/>
        <a:lstStyle/>
        <a:p>
          <a:endParaRPr lang="en-GB"/>
        </a:p>
      </dgm:t>
    </dgm:pt>
    <dgm:pt modelId="{9D9BE36C-5C3F-4E08-8389-8E009DE1EA77}" type="pres">
      <dgm:prSet presAssocID="{6999C619-4726-4423-B8EF-97BEA66EC8F9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F9C9B2-4908-49C8-9BD9-C8F314A3173A}" type="pres">
      <dgm:prSet presAssocID="{6999C619-4726-4423-B8EF-97BEA66EC8F9}" presName="comp2" presStyleCnt="0"/>
      <dgm:spPr/>
    </dgm:pt>
    <dgm:pt modelId="{58D9698C-EA5A-4D34-B245-B8898518A9AA}" type="pres">
      <dgm:prSet presAssocID="{6999C619-4726-4423-B8EF-97BEA66EC8F9}" presName="circle2" presStyleLbl="node1" presStyleIdx="1" presStyleCnt="4"/>
      <dgm:spPr/>
      <dgm:t>
        <a:bodyPr/>
        <a:lstStyle/>
        <a:p>
          <a:endParaRPr lang="en-GB"/>
        </a:p>
      </dgm:t>
    </dgm:pt>
    <dgm:pt modelId="{99CCD769-2E3E-418D-A368-E68E69FC8CD1}" type="pres">
      <dgm:prSet presAssocID="{6999C619-4726-4423-B8EF-97BEA66EC8F9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B502B9-6B47-4089-8704-EF6A1FF7E848}" type="pres">
      <dgm:prSet presAssocID="{6999C619-4726-4423-B8EF-97BEA66EC8F9}" presName="comp3" presStyleCnt="0"/>
      <dgm:spPr/>
    </dgm:pt>
    <dgm:pt modelId="{05B090F4-E883-432B-A33E-EF0C19DD9509}" type="pres">
      <dgm:prSet presAssocID="{6999C619-4726-4423-B8EF-97BEA66EC8F9}" presName="circle3" presStyleLbl="node1" presStyleIdx="2" presStyleCnt="4"/>
      <dgm:spPr/>
      <dgm:t>
        <a:bodyPr/>
        <a:lstStyle/>
        <a:p>
          <a:endParaRPr lang="en-GB"/>
        </a:p>
      </dgm:t>
    </dgm:pt>
    <dgm:pt modelId="{C28CD053-2A52-4093-8EE2-71E47AAB467D}" type="pres">
      <dgm:prSet presAssocID="{6999C619-4726-4423-B8EF-97BEA66EC8F9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2DF801-09AF-4A50-A400-B2B35E17270E}" type="pres">
      <dgm:prSet presAssocID="{6999C619-4726-4423-B8EF-97BEA66EC8F9}" presName="comp4" presStyleCnt="0"/>
      <dgm:spPr/>
    </dgm:pt>
    <dgm:pt modelId="{E8630843-F679-4FA7-ADB4-BDCF71F850FC}" type="pres">
      <dgm:prSet presAssocID="{6999C619-4726-4423-B8EF-97BEA66EC8F9}" presName="circle4" presStyleLbl="node1" presStyleIdx="3" presStyleCnt="4"/>
      <dgm:spPr/>
      <dgm:t>
        <a:bodyPr/>
        <a:lstStyle/>
        <a:p>
          <a:endParaRPr lang="en-GB"/>
        </a:p>
      </dgm:t>
    </dgm:pt>
    <dgm:pt modelId="{23F323F8-53F1-4A8F-8F54-5BFFD77B457B}" type="pres">
      <dgm:prSet presAssocID="{6999C619-4726-4423-B8EF-97BEA66EC8F9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8A2139D-44A6-466D-8B54-693DADC80645}" srcId="{6999C619-4726-4423-B8EF-97BEA66EC8F9}" destId="{71317392-51F8-4225-BD5F-A79A6FA58133}" srcOrd="0" destOrd="0" parTransId="{C23C6E44-4D17-4425-8D15-968BB21D9DB9}" sibTransId="{2F15BECE-6FD1-4C48-88EF-93FC4879C8EE}"/>
    <dgm:cxn modelId="{0B090024-3BF0-4469-854D-37E7DCBFCEB2}" type="presOf" srcId="{224FBA95-1D26-4C5D-BF42-1505339D2523}" destId="{C28CD053-2A52-4093-8EE2-71E47AAB467D}" srcOrd="1" destOrd="0" presId="urn:microsoft.com/office/officeart/2005/8/layout/venn2"/>
    <dgm:cxn modelId="{784BCAB6-A11F-4C63-BB53-10500C9C6A57}" type="presOf" srcId="{71317392-51F8-4225-BD5F-A79A6FA58133}" destId="{9D9BE36C-5C3F-4E08-8389-8E009DE1EA77}" srcOrd="1" destOrd="0" presId="urn:microsoft.com/office/officeart/2005/8/layout/venn2"/>
    <dgm:cxn modelId="{549D4F72-BBB9-4138-B937-FCCFED1A184C}" type="presOf" srcId="{BAD4CF5B-628D-4906-9678-7E3F4E7886C6}" destId="{23F323F8-53F1-4A8F-8F54-5BFFD77B457B}" srcOrd="1" destOrd="0" presId="urn:microsoft.com/office/officeart/2005/8/layout/venn2"/>
    <dgm:cxn modelId="{ED31D6F5-15F5-4F33-974C-4809C57A91A3}" srcId="{6999C619-4726-4423-B8EF-97BEA66EC8F9}" destId="{6C5E7585-4095-415C-BC34-1A3109945F91}" srcOrd="1" destOrd="0" parTransId="{E1B54BB7-3F38-4C07-A1CB-08E4A7C8B3C1}" sibTransId="{E93553B1-C105-4734-94A0-70E9F632D7D7}"/>
    <dgm:cxn modelId="{1D207151-3F1A-4109-A6B0-1CA9E981BFCD}" type="presOf" srcId="{6C5E7585-4095-415C-BC34-1A3109945F91}" destId="{58D9698C-EA5A-4D34-B245-B8898518A9AA}" srcOrd="0" destOrd="0" presId="urn:microsoft.com/office/officeart/2005/8/layout/venn2"/>
    <dgm:cxn modelId="{C0508417-2338-427B-8EE4-89E4755D8195}" srcId="{6999C619-4726-4423-B8EF-97BEA66EC8F9}" destId="{BAD4CF5B-628D-4906-9678-7E3F4E7886C6}" srcOrd="3" destOrd="0" parTransId="{3EDA5019-378A-4F2F-81D6-8EDF58EBB3EF}" sibTransId="{BEEC329E-88CB-4FB7-8F06-BB8DAF7454F2}"/>
    <dgm:cxn modelId="{8450A599-B859-4385-BD2D-A73FEB8A6015}" type="presOf" srcId="{71317392-51F8-4225-BD5F-A79A6FA58133}" destId="{271A2EA4-5B48-46E0-B466-03B672FF5C80}" srcOrd="0" destOrd="0" presId="urn:microsoft.com/office/officeart/2005/8/layout/venn2"/>
    <dgm:cxn modelId="{B9F71A0A-20CE-41D8-B999-3F54761D7CBD}" type="presOf" srcId="{6C5E7585-4095-415C-BC34-1A3109945F91}" destId="{99CCD769-2E3E-418D-A368-E68E69FC8CD1}" srcOrd="1" destOrd="0" presId="urn:microsoft.com/office/officeart/2005/8/layout/venn2"/>
    <dgm:cxn modelId="{592AA62E-791B-439E-A6AA-DAFC7AC244E7}" type="presOf" srcId="{224FBA95-1D26-4C5D-BF42-1505339D2523}" destId="{05B090F4-E883-432B-A33E-EF0C19DD9509}" srcOrd="0" destOrd="0" presId="urn:microsoft.com/office/officeart/2005/8/layout/venn2"/>
    <dgm:cxn modelId="{16AEDE0C-85F1-447C-8CFF-C497424D46B9}" type="presOf" srcId="{BAD4CF5B-628D-4906-9678-7E3F4E7886C6}" destId="{E8630843-F679-4FA7-ADB4-BDCF71F850FC}" srcOrd="0" destOrd="0" presId="urn:microsoft.com/office/officeart/2005/8/layout/venn2"/>
    <dgm:cxn modelId="{A9297661-DEF5-407C-8FD8-1D5AB6078C5D}" type="presOf" srcId="{6999C619-4726-4423-B8EF-97BEA66EC8F9}" destId="{15B3B9D1-C7A0-4BDA-8BB2-1CA72B5F41A6}" srcOrd="0" destOrd="0" presId="urn:microsoft.com/office/officeart/2005/8/layout/venn2"/>
    <dgm:cxn modelId="{C90991EE-D4F3-4BFE-873E-B644DCCE4F00}" srcId="{6999C619-4726-4423-B8EF-97BEA66EC8F9}" destId="{224FBA95-1D26-4C5D-BF42-1505339D2523}" srcOrd="2" destOrd="0" parTransId="{EFBD645C-F9E9-4131-8823-A4A86BBE4EF0}" sibTransId="{DBAEA09D-F4F3-4CF9-9F7E-988CC66D3E8B}"/>
    <dgm:cxn modelId="{9F25AD18-3DDB-4272-BAA2-72699533C4ED}" type="presParOf" srcId="{15B3B9D1-C7A0-4BDA-8BB2-1CA72B5F41A6}" destId="{3951CCA6-4F63-4C37-87D8-2A5D2888B6FE}" srcOrd="0" destOrd="0" presId="urn:microsoft.com/office/officeart/2005/8/layout/venn2"/>
    <dgm:cxn modelId="{CD7F9B77-481E-4E67-95F4-360BF5888751}" type="presParOf" srcId="{3951CCA6-4F63-4C37-87D8-2A5D2888B6FE}" destId="{271A2EA4-5B48-46E0-B466-03B672FF5C80}" srcOrd="0" destOrd="0" presId="urn:microsoft.com/office/officeart/2005/8/layout/venn2"/>
    <dgm:cxn modelId="{9312BC02-DB69-4A14-BFA8-C347144BD09E}" type="presParOf" srcId="{3951CCA6-4F63-4C37-87D8-2A5D2888B6FE}" destId="{9D9BE36C-5C3F-4E08-8389-8E009DE1EA77}" srcOrd="1" destOrd="0" presId="urn:microsoft.com/office/officeart/2005/8/layout/venn2"/>
    <dgm:cxn modelId="{780E0506-760D-4749-B9E9-9166E4E9444D}" type="presParOf" srcId="{15B3B9D1-C7A0-4BDA-8BB2-1CA72B5F41A6}" destId="{5CF9C9B2-4908-49C8-9BD9-C8F314A3173A}" srcOrd="1" destOrd="0" presId="urn:microsoft.com/office/officeart/2005/8/layout/venn2"/>
    <dgm:cxn modelId="{24C40FE6-9F83-46C1-8315-AD0E08C914E4}" type="presParOf" srcId="{5CF9C9B2-4908-49C8-9BD9-C8F314A3173A}" destId="{58D9698C-EA5A-4D34-B245-B8898518A9AA}" srcOrd="0" destOrd="0" presId="urn:microsoft.com/office/officeart/2005/8/layout/venn2"/>
    <dgm:cxn modelId="{847D9A49-52EF-4666-B8A3-B696D3079595}" type="presParOf" srcId="{5CF9C9B2-4908-49C8-9BD9-C8F314A3173A}" destId="{99CCD769-2E3E-418D-A368-E68E69FC8CD1}" srcOrd="1" destOrd="0" presId="urn:microsoft.com/office/officeart/2005/8/layout/venn2"/>
    <dgm:cxn modelId="{FF57B5E1-7674-44DB-9BC8-F78B0B73A373}" type="presParOf" srcId="{15B3B9D1-C7A0-4BDA-8BB2-1CA72B5F41A6}" destId="{3DB502B9-6B47-4089-8704-EF6A1FF7E848}" srcOrd="2" destOrd="0" presId="urn:microsoft.com/office/officeart/2005/8/layout/venn2"/>
    <dgm:cxn modelId="{B309485B-9BDF-4E83-977B-DDC01B76C5E6}" type="presParOf" srcId="{3DB502B9-6B47-4089-8704-EF6A1FF7E848}" destId="{05B090F4-E883-432B-A33E-EF0C19DD9509}" srcOrd="0" destOrd="0" presId="urn:microsoft.com/office/officeart/2005/8/layout/venn2"/>
    <dgm:cxn modelId="{2678665C-3525-4BBA-835E-A1EC5C446C62}" type="presParOf" srcId="{3DB502B9-6B47-4089-8704-EF6A1FF7E848}" destId="{C28CD053-2A52-4093-8EE2-71E47AAB467D}" srcOrd="1" destOrd="0" presId="urn:microsoft.com/office/officeart/2005/8/layout/venn2"/>
    <dgm:cxn modelId="{01B43FF2-4169-4023-A682-891CE311196F}" type="presParOf" srcId="{15B3B9D1-C7A0-4BDA-8BB2-1CA72B5F41A6}" destId="{A92DF801-09AF-4A50-A400-B2B35E17270E}" srcOrd="3" destOrd="0" presId="urn:microsoft.com/office/officeart/2005/8/layout/venn2"/>
    <dgm:cxn modelId="{5DE5ED40-3E59-4CCA-A838-5D1EA9576055}" type="presParOf" srcId="{A92DF801-09AF-4A50-A400-B2B35E17270E}" destId="{E8630843-F679-4FA7-ADB4-BDCF71F850FC}" srcOrd="0" destOrd="0" presId="urn:microsoft.com/office/officeart/2005/8/layout/venn2"/>
    <dgm:cxn modelId="{6A57E13C-BA92-4A0F-9A47-E865093CEB2A}" type="presParOf" srcId="{A92DF801-09AF-4A50-A400-B2B35E17270E}" destId="{23F323F8-53F1-4A8F-8F54-5BFFD77B457B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CDBC01-B079-4F22-88ED-DC762B132FF7}" type="doc">
      <dgm:prSet loTypeId="urn:microsoft.com/office/officeart/2005/8/layout/pyramid1" loCatId="pyramid" qsTypeId="urn:microsoft.com/office/officeart/2005/8/quickstyle/simple3" qsCatId="simple" csTypeId="urn:microsoft.com/office/officeart/2005/8/colors/accent1_2" csCatId="accent1" phldr="1"/>
      <dgm:spPr/>
    </dgm:pt>
    <dgm:pt modelId="{361FE546-EC99-4E19-B89E-D4AB3547CC55}">
      <dgm:prSet phldrT="[Text]" custT="1"/>
      <dgm:spPr/>
      <dgm:t>
        <a:bodyPr/>
        <a:lstStyle/>
        <a:p>
          <a:r>
            <a:rPr lang="en-GB" sz="1000" b="1"/>
            <a:t>V/T/D/S</a:t>
          </a:r>
        </a:p>
        <a:p>
          <a:r>
            <a:rPr lang="en-GB" sz="1000"/>
            <a:t>106</a:t>
          </a:r>
        </a:p>
      </dgm:t>
    </dgm:pt>
    <dgm:pt modelId="{BBF736D4-C307-4AC2-95D6-804317C5F180}" type="parTrans" cxnId="{BBCF87C2-A308-4A89-B9F0-E8C4613D10D8}">
      <dgm:prSet/>
      <dgm:spPr/>
      <dgm:t>
        <a:bodyPr/>
        <a:lstStyle/>
        <a:p>
          <a:endParaRPr lang="en-GB"/>
        </a:p>
      </dgm:t>
    </dgm:pt>
    <dgm:pt modelId="{D602E34F-B534-4A82-A4CE-12DDD8D1A1AF}" type="sibTrans" cxnId="{BBCF87C2-A308-4A89-B9F0-E8C4613D10D8}">
      <dgm:prSet/>
      <dgm:spPr/>
      <dgm:t>
        <a:bodyPr/>
        <a:lstStyle/>
        <a:p>
          <a:endParaRPr lang="en-GB"/>
        </a:p>
      </dgm:t>
    </dgm:pt>
    <dgm:pt modelId="{4EF11559-2399-4567-A3C2-6C3ED3470D6F}">
      <dgm:prSet phldrT="[Text]" custT="1"/>
      <dgm:spPr/>
      <dgm:t>
        <a:bodyPr/>
        <a:lstStyle/>
        <a:p>
          <a:r>
            <a:rPr lang="en-GB" sz="1000" b="1"/>
            <a:t>Negative but outside domain in </a:t>
          </a:r>
          <a:r>
            <a:rPr lang="en-GB" sz="1000" b="1">
              <a:latin typeface="Calibri"/>
            </a:rPr>
            <a:t>≥ 1 tool</a:t>
          </a:r>
          <a:endParaRPr lang="en-GB" sz="1000" b="1"/>
        </a:p>
        <a:p>
          <a:r>
            <a:rPr lang="en-GB" sz="1000"/>
            <a:t>619</a:t>
          </a:r>
        </a:p>
        <a:p>
          <a:r>
            <a:rPr lang="en-GB" sz="1000" b="1" i="0"/>
            <a:t>Negative in all tools</a:t>
          </a:r>
        </a:p>
        <a:p>
          <a:r>
            <a:rPr lang="en-GB" sz="1000" i="0"/>
            <a:t>572</a:t>
          </a:r>
        </a:p>
      </dgm:t>
    </dgm:pt>
    <dgm:pt modelId="{E78E8985-ED5C-4584-B189-D9EC1DC8A96F}" type="parTrans" cxnId="{EF4F1B63-B48F-4C2D-879E-746849C41CCB}">
      <dgm:prSet/>
      <dgm:spPr/>
      <dgm:t>
        <a:bodyPr/>
        <a:lstStyle/>
        <a:p>
          <a:endParaRPr lang="en-GB"/>
        </a:p>
      </dgm:t>
    </dgm:pt>
    <dgm:pt modelId="{39A535B6-409C-4985-A552-0DCBCB1F03DE}" type="sibTrans" cxnId="{EF4F1B63-B48F-4C2D-879E-746849C41CCB}">
      <dgm:prSet/>
      <dgm:spPr/>
      <dgm:t>
        <a:bodyPr/>
        <a:lstStyle/>
        <a:p>
          <a:endParaRPr lang="en-GB"/>
        </a:p>
      </dgm:t>
    </dgm:pt>
    <dgm:pt modelId="{AC42EEB6-42A5-4E8F-AC0C-A7D547394800}">
      <dgm:prSet custT="1"/>
      <dgm:spPr/>
      <dgm:t>
        <a:bodyPr/>
        <a:lstStyle/>
        <a:p>
          <a:pPr algn="r"/>
          <a:r>
            <a:rPr lang="en-GB" sz="1000" b="1"/>
            <a:t> V/T</a:t>
          </a:r>
          <a:r>
            <a:rPr lang="en-GB" sz="1000"/>
            <a:t>	</a:t>
          </a:r>
          <a:r>
            <a:rPr lang="en-GB" sz="1000" b="1"/>
            <a:t>V/D       </a:t>
          </a:r>
          <a:r>
            <a:rPr lang="en-GB" sz="1000"/>
            <a:t> </a:t>
          </a:r>
          <a:r>
            <a:rPr lang="en-GB" sz="1000" b="1"/>
            <a:t>V/S</a:t>
          </a:r>
          <a:r>
            <a:rPr lang="en-GB" sz="1000"/>
            <a:t>	 </a:t>
          </a:r>
          <a:r>
            <a:rPr lang="en-GB" sz="1000" b="1"/>
            <a:t>T/D</a:t>
          </a:r>
          <a:r>
            <a:rPr lang="en-GB" sz="1000"/>
            <a:t>	</a:t>
          </a:r>
          <a:r>
            <a:rPr lang="en-GB" sz="1000" b="1"/>
            <a:t>D/S        T/S</a:t>
          </a:r>
        </a:p>
        <a:p>
          <a:pPr algn="dist"/>
          <a:r>
            <a:rPr lang="en-GB" sz="1000"/>
            <a:t>   45	   6	 19	  18	   3	  3</a:t>
          </a:r>
        </a:p>
        <a:p>
          <a:pPr algn="dist"/>
          <a:r>
            <a:rPr lang="en-GB" sz="1000" i="1"/>
            <a:t>  (11)	  (1)       (1)        (17)       (2)       (3)</a:t>
          </a:r>
          <a:endParaRPr lang="en-GB" sz="2200" i="1"/>
        </a:p>
      </dgm:t>
    </dgm:pt>
    <dgm:pt modelId="{F559CC9D-6876-4EE7-BA46-D40F18EE8963}" type="parTrans" cxnId="{B70E2805-E4F2-4839-A85F-E3F5BA70D3F3}">
      <dgm:prSet/>
      <dgm:spPr/>
      <dgm:t>
        <a:bodyPr/>
        <a:lstStyle/>
        <a:p>
          <a:endParaRPr lang="en-GB"/>
        </a:p>
      </dgm:t>
    </dgm:pt>
    <dgm:pt modelId="{1025100A-EEB8-439D-AD0F-E028111BC066}" type="sibTrans" cxnId="{B70E2805-E4F2-4839-A85F-E3F5BA70D3F3}">
      <dgm:prSet/>
      <dgm:spPr/>
      <dgm:t>
        <a:bodyPr/>
        <a:lstStyle/>
        <a:p>
          <a:endParaRPr lang="en-GB"/>
        </a:p>
      </dgm:t>
    </dgm:pt>
    <dgm:pt modelId="{B19BAE9B-8FA2-47B7-947A-F2F0BFD25DC8}">
      <dgm:prSet custT="1"/>
      <dgm:spPr/>
      <dgm:t>
        <a:bodyPr/>
        <a:lstStyle/>
        <a:p>
          <a:r>
            <a:rPr lang="en-GB" sz="1000" b="1"/>
            <a:t>V		T		D		S</a:t>
          </a:r>
        </a:p>
        <a:p>
          <a:r>
            <a:rPr lang="en-GB" sz="1000"/>
            <a:t>50		72		35		47</a:t>
          </a:r>
        </a:p>
        <a:p>
          <a:r>
            <a:rPr lang="en-GB" sz="1000"/>
            <a:t> </a:t>
          </a:r>
          <a:r>
            <a:rPr lang="en-GB" sz="1000" i="1"/>
            <a:t>(4)		(62)		(23)		(35)</a:t>
          </a:r>
        </a:p>
      </dgm:t>
    </dgm:pt>
    <dgm:pt modelId="{728F5C72-72DC-47D4-B92C-9C6A50D6676E}" type="parTrans" cxnId="{D78CAEDF-1FE0-4A5F-A794-344A989F4103}">
      <dgm:prSet/>
      <dgm:spPr/>
      <dgm:t>
        <a:bodyPr/>
        <a:lstStyle/>
        <a:p>
          <a:endParaRPr lang="en-GB"/>
        </a:p>
      </dgm:t>
    </dgm:pt>
    <dgm:pt modelId="{2B21E5E0-CD38-4536-9D68-A06A9FDD0404}" type="sibTrans" cxnId="{D78CAEDF-1FE0-4A5F-A794-344A989F4103}">
      <dgm:prSet/>
      <dgm:spPr/>
      <dgm:t>
        <a:bodyPr/>
        <a:lstStyle/>
        <a:p>
          <a:endParaRPr lang="en-GB"/>
        </a:p>
      </dgm:t>
    </dgm:pt>
    <dgm:pt modelId="{2F6F4DE6-F470-4467-96F6-CF85DD79A370}">
      <dgm:prSet custT="1"/>
      <dgm:spPr>
        <a:ln>
          <a:noFill/>
        </a:ln>
      </dgm:spPr>
      <dgm:t>
        <a:bodyPr vert="horz"/>
        <a:lstStyle/>
        <a:p>
          <a:r>
            <a:rPr lang="en-GB" sz="1100"/>
            <a:t>Positive in 1 (#204)</a:t>
          </a:r>
        </a:p>
      </dgm:t>
    </dgm:pt>
    <dgm:pt modelId="{3433F68D-A5BD-4BBA-94C3-74DB9B0678BC}" type="parTrans" cxnId="{1E28258C-964B-4B5A-A68C-2C7D9BCE316F}">
      <dgm:prSet/>
      <dgm:spPr/>
      <dgm:t>
        <a:bodyPr/>
        <a:lstStyle/>
        <a:p>
          <a:endParaRPr lang="en-GB"/>
        </a:p>
      </dgm:t>
    </dgm:pt>
    <dgm:pt modelId="{832E7BBD-E813-4BC3-8F1F-FB4297174F5F}" type="sibTrans" cxnId="{1E28258C-964B-4B5A-A68C-2C7D9BCE316F}">
      <dgm:prSet/>
      <dgm:spPr/>
      <dgm:t>
        <a:bodyPr/>
        <a:lstStyle/>
        <a:p>
          <a:endParaRPr lang="en-GB"/>
        </a:p>
      </dgm:t>
    </dgm:pt>
    <dgm:pt modelId="{7D9F0C55-8352-4290-B31F-6A64F6CF906C}">
      <dgm:prSet phldrT="[Text]" custT="1"/>
      <dgm:spPr/>
      <dgm:t>
        <a:bodyPr/>
        <a:lstStyle/>
        <a:p>
          <a:r>
            <a:rPr lang="en-GB" sz="1000" b="1"/>
            <a:t>V/T/D</a:t>
          </a:r>
          <a:r>
            <a:rPr lang="en-GB" sz="1000"/>
            <a:t>	</a:t>
          </a:r>
          <a:r>
            <a:rPr lang="en-GB" sz="1000" b="1"/>
            <a:t>V/T/S</a:t>
          </a:r>
          <a:r>
            <a:rPr lang="en-GB" sz="1000"/>
            <a:t>	</a:t>
          </a:r>
          <a:r>
            <a:rPr lang="en-GB" sz="1000" b="1"/>
            <a:t>V/D/S</a:t>
          </a:r>
          <a:r>
            <a:rPr lang="en-GB" sz="1000"/>
            <a:t>	</a:t>
          </a:r>
          <a:r>
            <a:rPr lang="en-GB" sz="1000" b="1"/>
            <a:t>T/D/S</a:t>
          </a:r>
        </a:p>
        <a:p>
          <a:r>
            <a:rPr lang="en-GB" sz="1000"/>
            <a:t>77          41	6	4</a:t>
          </a:r>
        </a:p>
        <a:p>
          <a:r>
            <a:rPr lang="en-GB" sz="1000"/>
            <a:t>	</a:t>
          </a:r>
          <a:r>
            <a:rPr lang="en-GB" sz="1000" i="1"/>
            <a:t>(4)		(4)</a:t>
          </a:r>
        </a:p>
      </dgm:t>
    </dgm:pt>
    <dgm:pt modelId="{2B74A9A4-5FF2-4923-9D0C-C51FFC1EF2BD}" type="parTrans" cxnId="{3F17AA11-0542-4F05-9FEF-883C5663C582}">
      <dgm:prSet/>
      <dgm:spPr/>
      <dgm:t>
        <a:bodyPr/>
        <a:lstStyle/>
        <a:p>
          <a:endParaRPr lang="en-GB"/>
        </a:p>
      </dgm:t>
    </dgm:pt>
    <dgm:pt modelId="{44779D54-E3DC-4B60-8299-9D1C1F1CBE25}" type="sibTrans" cxnId="{3F17AA11-0542-4F05-9FEF-883C5663C582}">
      <dgm:prSet/>
      <dgm:spPr/>
      <dgm:t>
        <a:bodyPr/>
        <a:lstStyle/>
        <a:p>
          <a:endParaRPr lang="en-GB"/>
        </a:p>
      </dgm:t>
    </dgm:pt>
    <dgm:pt modelId="{59D9E71B-9E2F-4916-8031-DCF4360DDAAA}">
      <dgm:prSet custT="1"/>
      <dgm:spPr>
        <a:ln>
          <a:noFill/>
        </a:ln>
      </dgm:spPr>
      <dgm:t>
        <a:bodyPr/>
        <a:lstStyle/>
        <a:p>
          <a:pPr algn="l"/>
          <a:r>
            <a:rPr lang="en-GB" sz="1100"/>
            <a:t>Positive in 2 (#94)</a:t>
          </a:r>
        </a:p>
      </dgm:t>
    </dgm:pt>
    <dgm:pt modelId="{D80C8891-1D2D-4241-BBEF-31DDE842D23F}" type="parTrans" cxnId="{E1FBAB19-60A1-4B65-8386-1078EFEC6F4D}">
      <dgm:prSet/>
      <dgm:spPr/>
      <dgm:t>
        <a:bodyPr/>
        <a:lstStyle/>
        <a:p>
          <a:endParaRPr lang="en-GB"/>
        </a:p>
      </dgm:t>
    </dgm:pt>
    <dgm:pt modelId="{0F292416-5312-4B3D-B8AF-5596995208E1}" type="sibTrans" cxnId="{E1FBAB19-60A1-4B65-8386-1078EFEC6F4D}">
      <dgm:prSet/>
      <dgm:spPr/>
      <dgm:t>
        <a:bodyPr/>
        <a:lstStyle/>
        <a:p>
          <a:endParaRPr lang="en-GB"/>
        </a:p>
      </dgm:t>
    </dgm:pt>
    <dgm:pt modelId="{36403771-9157-4347-B749-DF26E0AB14E5}">
      <dgm:prSet custT="1"/>
      <dgm:spPr>
        <a:ln>
          <a:noFill/>
        </a:ln>
      </dgm:spPr>
      <dgm:t>
        <a:bodyPr/>
        <a:lstStyle/>
        <a:p>
          <a:r>
            <a:rPr lang="en-GB" sz="1100"/>
            <a:t>Positive in 3 (#128)</a:t>
          </a:r>
        </a:p>
      </dgm:t>
    </dgm:pt>
    <dgm:pt modelId="{12D525BB-39ED-4077-B6B0-78D8FD7DACE8}" type="parTrans" cxnId="{E6FD1DE4-24FC-4477-A86E-40D0D9D3B4BC}">
      <dgm:prSet/>
      <dgm:spPr/>
      <dgm:t>
        <a:bodyPr/>
        <a:lstStyle/>
        <a:p>
          <a:endParaRPr lang="en-GB"/>
        </a:p>
      </dgm:t>
    </dgm:pt>
    <dgm:pt modelId="{063DB770-C37D-41C8-8011-3C673E6A134A}" type="sibTrans" cxnId="{E6FD1DE4-24FC-4477-A86E-40D0D9D3B4BC}">
      <dgm:prSet/>
      <dgm:spPr/>
      <dgm:t>
        <a:bodyPr/>
        <a:lstStyle/>
        <a:p>
          <a:endParaRPr lang="en-GB"/>
        </a:p>
      </dgm:t>
    </dgm:pt>
    <dgm:pt modelId="{C4BF341B-9D45-4E48-820F-D7797CD6CAAE}">
      <dgm:prSet custT="1"/>
      <dgm:spPr>
        <a:ln>
          <a:noFill/>
        </a:ln>
      </dgm:spPr>
      <dgm:t>
        <a:bodyPr/>
        <a:lstStyle/>
        <a:p>
          <a:r>
            <a:rPr lang="en-GB" sz="1100"/>
            <a:t>Positive in 4 (#106)</a:t>
          </a:r>
        </a:p>
      </dgm:t>
    </dgm:pt>
    <dgm:pt modelId="{723D6A25-F4B5-4558-A01E-7AB82E2CAAEA}" type="parTrans" cxnId="{53014738-E434-44D7-9B57-F8E6609FE919}">
      <dgm:prSet/>
      <dgm:spPr/>
      <dgm:t>
        <a:bodyPr/>
        <a:lstStyle/>
        <a:p>
          <a:endParaRPr lang="en-GB"/>
        </a:p>
      </dgm:t>
    </dgm:pt>
    <dgm:pt modelId="{F92BA23A-627B-4480-A566-138240074935}" type="sibTrans" cxnId="{53014738-E434-44D7-9B57-F8E6609FE919}">
      <dgm:prSet/>
      <dgm:spPr/>
      <dgm:t>
        <a:bodyPr/>
        <a:lstStyle/>
        <a:p>
          <a:endParaRPr lang="en-GB"/>
        </a:p>
      </dgm:t>
    </dgm:pt>
    <dgm:pt modelId="{54ED08B3-E2ED-463E-A55D-3D558540EBA7}">
      <dgm:prSet custT="1"/>
      <dgm:spPr>
        <a:ln>
          <a:noFill/>
        </a:ln>
      </dgm:spPr>
      <dgm:t>
        <a:bodyPr/>
        <a:lstStyle/>
        <a:p>
          <a:r>
            <a:rPr lang="en-GB" sz="1100"/>
            <a:t>Positive in 0 (#1191)</a:t>
          </a:r>
        </a:p>
      </dgm:t>
    </dgm:pt>
    <dgm:pt modelId="{0408E944-440B-47BE-8C89-D5A46912C94B}" type="parTrans" cxnId="{46E6D70A-60BD-468F-A65D-C1C581EF6D2D}">
      <dgm:prSet/>
      <dgm:spPr/>
      <dgm:t>
        <a:bodyPr/>
        <a:lstStyle/>
        <a:p>
          <a:endParaRPr lang="en-GB"/>
        </a:p>
      </dgm:t>
    </dgm:pt>
    <dgm:pt modelId="{290DCF91-2871-4E3B-8CB0-06F634B4C2E7}" type="sibTrans" cxnId="{46E6D70A-60BD-468F-A65D-C1C581EF6D2D}">
      <dgm:prSet/>
      <dgm:spPr/>
      <dgm:t>
        <a:bodyPr/>
        <a:lstStyle/>
        <a:p>
          <a:endParaRPr lang="en-GB"/>
        </a:p>
      </dgm:t>
    </dgm:pt>
    <dgm:pt modelId="{97DAE016-BD75-4CC0-962A-1250D9983B8B}" type="pres">
      <dgm:prSet presAssocID="{65CDBC01-B079-4F22-88ED-DC762B132FF7}" presName="Name0" presStyleCnt="0">
        <dgm:presLayoutVars>
          <dgm:dir/>
          <dgm:animLvl val="lvl"/>
          <dgm:resizeHandles val="exact"/>
        </dgm:presLayoutVars>
      </dgm:prSet>
      <dgm:spPr/>
    </dgm:pt>
    <dgm:pt modelId="{0AB0D401-700D-45B0-B601-EA914CA78DB6}" type="pres">
      <dgm:prSet presAssocID="{361FE546-EC99-4E19-B89E-D4AB3547CC55}" presName="Name8" presStyleCnt="0"/>
      <dgm:spPr/>
    </dgm:pt>
    <dgm:pt modelId="{78396B3E-B848-4A06-9463-531C323FB6D7}" type="pres">
      <dgm:prSet presAssocID="{361FE546-EC99-4E19-B89E-D4AB3547CC55}" presName="acctBkgd" presStyleLbl="alignAcc1" presStyleIdx="0" presStyleCnt="5" custLinFactNeighborX="-10004"/>
      <dgm:spPr/>
      <dgm:t>
        <a:bodyPr/>
        <a:lstStyle/>
        <a:p>
          <a:endParaRPr lang="en-GB"/>
        </a:p>
      </dgm:t>
    </dgm:pt>
    <dgm:pt modelId="{311104AC-3132-4938-A6E4-3176F64B9572}" type="pres">
      <dgm:prSet presAssocID="{361FE546-EC99-4E19-B89E-D4AB3547CC55}" presName="acctTx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15E50E-0A59-486B-9D9E-0004660D5E8D}" type="pres">
      <dgm:prSet presAssocID="{361FE546-EC99-4E19-B89E-D4AB3547CC55}" presName="level" presStyleLbl="node1" presStyleIdx="0" presStyleCnt="5" custScaleX="156178" custLinFactNeighborX="-8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D0DC4EF-7B8E-464A-92AD-2AA87258CC27}" type="pres">
      <dgm:prSet presAssocID="{361FE546-EC99-4E19-B89E-D4AB3547CC5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4C732E-3B0F-4FD6-860A-B73F124215BE}" type="pres">
      <dgm:prSet presAssocID="{7D9F0C55-8352-4290-B31F-6A64F6CF906C}" presName="Name8" presStyleCnt="0"/>
      <dgm:spPr/>
    </dgm:pt>
    <dgm:pt modelId="{2204AED2-4C2F-49E8-915A-2183B12AD794}" type="pres">
      <dgm:prSet presAssocID="{7D9F0C55-8352-4290-B31F-6A64F6CF906C}" presName="acctBkgd" presStyleLbl="alignAcc1" presStyleIdx="1" presStyleCnt="5" custLinFactNeighborX="-11346"/>
      <dgm:spPr/>
      <dgm:t>
        <a:bodyPr/>
        <a:lstStyle/>
        <a:p>
          <a:endParaRPr lang="en-GB"/>
        </a:p>
      </dgm:t>
    </dgm:pt>
    <dgm:pt modelId="{B88704A5-E41F-4865-9148-154B01278C7B}" type="pres">
      <dgm:prSet presAssocID="{7D9F0C55-8352-4290-B31F-6A64F6CF906C}" presName="acctTx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2B219F-17DB-4FF7-AB48-F2A85C0BD897}" type="pres">
      <dgm:prSet presAssocID="{7D9F0C55-8352-4290-B31F-6A64F6CF906C}" presName="level" presStyleLbl="node1" presStyleIdx="1" presStyleCnt="5" custScaleX="128124" custLinFactNeighborX="-4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F5DFBB-65ED-4A8A-A95E-2F5E8C0FDF53}" type="pres">
      <dgm:prSet presAssocID="{7D9F0C55-8352-4290-B31F-6A64F6CF906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4EAF2F-B640-4CAF-B22A-058AD305924B}" type="pres">
      <dgm:prSet presAssocID="{AC42EEB6-42A5-4E8F-AC0C-A7D547394800}" presName="Name8" presStyleCnt="0"/>
      <dgm:spPr/>
    </dgm:pt>
    <dgm:pt modelId="{37309996-0021-4760-B68E-CBB80EF2720A}" type="pres">
      <dgm:prSet presAssocID="{AC42EEB6-42A5-4E8F-AC0C-A7D547394800}" presName="acctBkgd" presStyleLbl="alignAcc1" presStyleIdx="2" presStyleCnt="5" custLinFactNeighborX="-13268"/>
      <dgm:spPr/>
      <dgm:t>
        <a:bodyPr/>
        <a:lstStyle/>
        <a:p>
          <a:endParaRPr lang="en-GB"/>
        </a:p>
      </dgm:t>
    </dgm:pt>
    <dgm:pt modelId="{813A0721-1626-4170-8665-934FF18640FC}" type="pres">
      <dgm:prSet presAssocID="{AC42EEB6-42A5-4E8F-AC0C-A7D547394800}" presName="acctTx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8E62EC-BC6F-432A-86F2-1EE22DB64D6B}" type="pres">
      <dgm:prSet presAssocID="{AC42EEB6-42A5-4E8F-AC0C-A7D547394800}" presName="level" presStyleLbl="node1" presStyleIdx="2" presStyleCnt="5" custScaleX="118289" custLinFactNeighborX="-2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6F95F43-BE2C-4E3F-A47B-9C2DA53A7C96}" type="pres">
      <dgm:prSet presAssocID="{AC42EEB6-42A5-4E8F-AC0C-A7D54739480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62466B-7DE5-4EE8-AA51-301F195FDE80}" type="pres">
      <dgm:prSet presAssocID="{B19BAE9B-8FA2-47B7-947A-F2F0BFD25DC8}" presName="Name8" presStyleCnt="0"/>
      <dgm:spPr/>
    </dgm:pt>
    <dgm:pt modelId="{6395DA25-54FA-4154-A7F2-B2C1842599E5}" type="pres">
      <dgm:prSet presAssocID="{B19BAE9B-8FA2-47B7-947A-F2F0BFD25DC8}" presName="acctBkgd" presStyleLbl="alignAcc1" presStyleIdx="3" presStyleCnt="5" custLinFactNeighborX="-15882" custLinFactNeighborY="1"/>
      <dgm:spPr/>
      <dgm:t>
        <a:bodyPr/>
        <a:lstStyle/>
        <a:p>
          <a:endParaRPr lang="en-GB"/>
        </a:p>
      </dgm:t>
    </dgm:pt>
    <dgm:pt modelId="{E6FD1F5A-67A6-49A1-8800-73A9734A6C40}" type="pres">
      <dgm:prSet presAssocID="{B19BAE9B-8FA2-47B7-947A-F2F0BFD25DC8}" presName="acctTx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58956C-2AA2-4BC3-8802-1ACDC7921760}" type="pres">
      <dgm:prSet presAssocID="{B19BAE9B-8FA2-47B7-947A-F2F0BFD25DC8}" presName="level" presStyleLbl="node1" presStyleIdx="3" presStyleCnt="5" custScaleX="113735" custLinFactNeighborX="-2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A0EF87-74FB-4C1C-B0C9-D84923186593}" type="pres">
      <dgm:prSet presAssocID="{B19BAE9B-8FA2-47B7-947A-F2F0BFD25DC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5F68FB-93CF-4BA9-B811-89B48A12DC88}" type="pres">
      <dgm:prSet presAssocID="{4EF11559-2399-4567-A3C2-6C3ED3470D6F}" presName="Name8" presStyleCnt="0"/>
      <dgm:spPr/>
    </dgm:pt>
    <dgm:pt modelId="{29E489D0-0678-4544-93EF-8B0F6470B119}" type="pres">
      <dgm:prSet presAssocID="{4EF11559-2399-4567-A3C2-6C3ED3470D6F}" presName="acctBkgd" presStyleLbl="alignAcc1" presStyleIdx="4" presStyleCnt="5" custLinFactNeighborX="-18792"/>
      <dgm:spPr/>
      <dgm:t>
        <a:bodyPr/>
        <a:lstStyle/>
        <a:p>
          <a:endParaRPr lang="en-GB"/>
        </a:p>
      </dgm:t>
    </dgm:pt>
    <dgm:pt modelId="{EFC04B86-1AF9-41D2-9418-D28C963D2E38}" type="pres">
      <dgm:prSet presAssocID="{4EF11559-2399-4567-A3C2-6C3ED3470D6F}" presName="acct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F72EB6-BE77-4A38-8A3E-9EF6546D9B90}" type="pres">
      <dgm:prSet presAssocID="{4EF11559-2399-4567-A3C2-6C3ED3470D6F}" presName="level" presStyleLbl="node1" presStyleIdx="4" presStyleCnt="5" custScaleX="110627" custLinFactNeighborX="-15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47B318-FEF7-4F26-90AE-CB1FBF36A7B8}" type="pres">
      <dgm:prSet presAssocID="{4EF11559-2399-4567-A3C2-6C3ED3470D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BCF87C2-A308-4A89-B9F0-E8C4613D10D8}" srcId="{65CDBC01-B079-4F22-88ED-DC762B132FF7}" destId="{361FE546-EC99-4E19-B89E-D4AB3547CC55}" srcOrd="0" destOrd="0" parTransId="{BBF736D4-C307-4AC2-95D6-804317C5F180}" sibTransId="{D602E34F-B534-4A82-A4CE-12DDD8D1A1AF}"/>
    <dgm:cxn modelId="{C85E108C-6D4F-4B33-971D-8930F1C5403B}" type="presOf" srcId="{7D9F0C55-8352-4290-B31F-6A64F6CF906C}" destId="{012B219F-17DB-4FF7-AB48-F2A85C0BD897}" srcOrd="0" destOrd="0" presId="urn:microsoft.com/office/officeart/2005/8/layout/pyramid1"/>
    <dgm:cxn modelId="{5DDD29CD-2F19-40E0-9AD0-790677092061}" type="presOf" srcId="{4EF11559-2399-4567-A3C2-6C3ED3470D6F}" destId="{2CF72EB6-BE77-4A38-8A3E-9EF6546D9B90}" srcOrd="0" destOrd="0" presId="urn:microsoft.com/office/officeart/2005/8/layout/pyramid1"/>
    <dgm:cxn modelId="{D78CAEDF-1FE0-4A5F-A794-344A989F4103}" srcId="{65CDBC01-B079-4F22-88ED-DC762B132FF7}" destId="{B19BAE9B-8FA2-47B7-947A-F2F0BFD25DC8}" srcOrd="3" destOrd="0" parTransId="{728F5C72-72DC-47D4-B92C-9C6A50D6676E}" sibTransId="{2B21E5E0-CD38-4536-9D68-A06A9FDD0404}"/>
    <dgm:cxn modelId="{BB4219F1-512F-46F9-8D94-E93B6D06CB8D}" type="presOf" srcId="{361FE546-EC99-4E19-B89E-D4AB3547CC55}" destId="{ED15E50E-0A59-486B-9D9E-0004660D5E8D}" srcOrd="0" destOrd="0" presId="urn:microsoft.com/office/officeart/2005/8/layout/pyramid1"/>
    <dgm:cxn modelId="{0CE21F01-4D38-4FAF-BEC1-30C88A6542FE}" type="presOf" srcId="{59D9E71B-9E2F-4916-8031-DCF4360DDAAA}" destId="{37309996-0021-4760-B68E-CBB80EF2720A}" srcOrd="0" destOrd="0" presId="urn:microsoft.com/office/officeart/2005/8/layout/pyramid1"/>
    <dgm:cxn modelId="{3D9732BC-57B3-4DAA-AFE7-3C166B610C86}" type="presOf" srcId="{65CDBC01-B079-4F22-88ED-DC762B132FF7}" destId="{97DAE016-BD75-4CC0-962A-1250D9983B8B}" srcOrd="0" destOrd="0" presId="urn:microsoft.com/office/officeart/2005/8/layout/pyramid1"/>
    <dgm:cxn modelId="{D6D805E4-18EC-4377-9302-A0153CB691D5}" type="presOf" srcId="{361FE546-EC99-4E19-B89E-D4AB3547CC55}" destId="{BD0DC4EF-7B8E-464A-92AD-2AA87258CC27}" srcOrd="1" destOrd="0" presId="urn:microsoft.com/office/officeart/2005/8/layout/pyramid1"/>
    <dgm:cxn modelId="{5F1A63B6-D49D-4DF2-9685-C9B3693BDA65}" type="presOf" srcId="{AC42EEB6-42A5-4E8F-AC0C-A7D547394800}" destId="{76F95F43-BE2C-4E3F-A47B-9C2DA53A7C96}" srcOrd="1" destOrd="0" presId="urn:microsoft.com/office/officeart/2005/8/layout/pyramid1"/>
    <dgm:cxn modelId="{46E6D70A-60BD-468F-A65D-C1C581EF6D2D}" srcId="{4EF11559-2399-4567-A3C2-6C3ED3470D6F}" destId="{54ED08B3-E2ED-463E-A55D-3D558540EBA7}" srcOrd="0" destOrd="0" parTransId="{0408E944-440B-47BE-8C89-D5A46912C94B}" sibTransId="{290DCF91-2871-4E3B-8CB0-06F634B4C2E7}"/>
    <dgm:cxn modelId="{8E9426D4-8B92-4324-8F7B-1C3DE5F5BB6E}" type="presOf" srcId="{54ED08B3-E2ED-463E-A55D-3D558540EBA7}" destId="{EFC04B86-1AF9-41D2-9418-D28C963D2E38}" srcOrd="1" destOrd="0" presId="urn:microsoft.com/office/officeart/2005/8/layout/pyramid1"/>
    <dgm:cxn modelId="{75E4EC09-3863-4FC1-A4BD-B84C20CAD6BA}" type="presOf" srcId="{4EF11559-2399-4567-A3C2-6C3ED3470D6F}" destId="{8D47B318-FEF7-4F26-90AE-CB1FBF36A7B8}" srcOrd="1" destOrd="0" presId="urn:microsoft.com/office/officeart/2005/8/layout/pyramid1"/>
    <dgm:cxn modelId="{E1FBAB19-60A1-4B65-8386-1078EFEC6F4D}" srcId="{AC42EEB6-42A5-4E8F-AC0C-A7D547394800}" destId="{59D9E71B-9E2F-4916-8031-DCF4360DDAAA}" srcOrd="0" destOrd="0" parTransId="{D80C8891-1D2D-4241-BBEF-31DDE842D23F}" sibTransId="{0F292416-5312-4B3D-B8AF-5596995208E1}"/>
    <dgm:cxn modelId="{EF4F1B63-B48F-4C2D-879E-746849C41CCB}" srcId="{65CDBC01-B079-4F22-88ED-DC762B132FF7}" destId="{4EF11559-2399-4567-A3C2-6C3ED3470D6F}" srcOrd="4" destOrd="0" parTransId="{E78E8985-ED5C-4584-B189-D9EC1DC8A96F}" sibTransId="{39A535B6-409C-4985-A552-0DCBCB1F03DE}"/>
    <dgm:cxn modelId="{16357F9D-4F2B-442F-9791-BA54A6089B7D}" type="presOf" srcId="{AC42EEB6-42A5-4E8F-AC0C-A7D547394800}" destId="{E68E62EC-BC6F-432A-86F2-1EE22DB64D6B}" srcOrd="0" destOrd="0" presId="urn:microsoft.com/office/officeart/2005/8/layout/pyramid1"/>
    <dgm:cxn modelId="{E6FD1DE4-24FC-4477-A86E-40D0D9D3B4BC}" srcId="{7D9F0C55-8352-4290-B31F-6A64F6CF906C}" destId="{36403771-9157-4347-B749-DF26E0AB14E5}" srcOrd="0" destOrd="0" parTransId="{12D525BB-39ED-4077-B6B0-78D8FD7DACE8}" sibTransId="{063DB770-C37D-41C8-8011-3C673E6A134A}"/>
    <dgm:cxn modelId="{B70E2805-E4F2-4839-A85F-E3F5BA70D3F3}" srcId="{65CDBC01-B079-4F22-88ED-DC762B132FF7}" destId="{AC42EEB6-42A5-4E8F-AC0C-A7D547394800}" srcOrd="2" destOrd="0" parTransId="{F559CC9D-6876-4EE7-BA46-D40F18EE8963}" sibTransId="{1025100A-EEB8-439D-AD0F-E028111BC066}"/>
    <dgm:cxn modelId="{F1EAE590-57FC-4CEE-89B7-73DFCBBF0330}" type="presOf" srcId="{C4BF341B-9D45-4E48-820F-D7797CD6CAAE}" destId="{311104AC-3132-4938-A6E4-3176F64B9572}" srcOrd="1" destOrd="0" presId="urn:microsoft.com/office/officeart/2005/8/layout/pyramid1"/>
    <dgm:cxn modelId="{A1552BA8-3E46-43DF-AB15-073C22F1A1B3}" type="presOf" srcId="{36403771-9157-4347-B749-DF26E0AB14E5}" destId="{2204AED2-4C2F-49E8-915A-2183B12AD794}" srcOrd="0" destOrd="0" presId="urn:microsoft.com/office/officeart/2005/8/layout/pyramid1"/>
    <dgm:cxn modelId="{1E28258C-964B-4B5A-A68C-2C7D9BCE316F}" srcId="{B19BAE9B-8FA2-47B7-947A-F2F0BFD25DC8}" destId="{2F6F4DE6-F470-4467-96F6-CF85DD79A370}" srcOrd="0" destOrd="0" parTransId="{3433F68D-A5BD-4BBA-94C3-74DB9B0678BC}" sibTransId="{832E7BBD-E813-4BC3-8F1F-FB4297174F5F}"/>
    <dgm:cxn modelId="{2AA13C51-3001-4CE7-8C68-F91A9075F208}" type="presOf" srcId="{B19BAE9B-8FA2-47B7-947A-F2F0BFD25DC8}" destId="{7858956C-2AA2-4BC3-8802-1ACDC7921760}" srcOrd="0" destOrd="0" presId="urn:microsoft.com/office/officeart/2005/8/layout/pyramid1"/>
    <dgm:cxn modelId="{A998B1D1-DC47-4A47-9DB1-148B568CBA5E}" type="presOf" srcId="{59D9E71B-9E2F-4916-8031-DCF4360DDAAA}" destId="{813A0721-1626-4170-8665-934FF18640FC}" srcOrd="1" destOrd="0" presId="urn:microsoft.com/office/officeart/2005/8/layout/pyramid1"/>
    <dgm:cxn modelId="{53014738-E434-44D7-9B57-F8E6609FE919}" srcId="{361FE546-EC99-4E19-B89E-D4AB3547CC55}" destId="{C4BF341B-9D45-4E48-820F-D7797CD6CAAE}" srcOrd="0" destOrd="0" parTransId="{723D6A25-F4B5-4558-A01E-7AB82E2CAAEA}" sibTransId="{F92BA23A-627B-4480-A566-138240074935}"/>
    <dgm:cxn modelId="{3F17AA11-0542-4F05-9FEF-883C5663C582}" srcId="{65CDBC01-B079-4F22-88ED-DC762B132FF7}" destId="{7D9F0C55-8352-4290-B31F-6A64F6CF906C}" srcOrd="1" destOrd="0" parTransId="{2B74A9A4-5FF2-4923-9D0C-C51FFC1EF2BD}" sibTransId="{44779D54-E3DC-4B60-8299-9D1C1F1CBE25}"/>
    <dgm:cxn modelId="{7216049B-6FE0-444C-B211-E870A50BC615}" type="presOf" srcId="{36403771-9157-4347-B749-DF26E0AB14E5}" destId="{B88704A5-E41F-4865-9148-154B01278C7B}" srcOrd="1" destOrd="0" presId="urn:microsoft.com/office/officeart/2005/8/layout/pyramid1"/>
    <dgm:cxn modelId="{C706341C-F1CA-46AC-81A1-6C77AF891C7A}" type="presOf" srcId="{2F6F4DE6-F470-4467-96F6-CF85DD79A370}" destId="{6395DA25-54FA-4154-A7F2-B2C1842599E5}" srcOrd="0" destOrd="0" presId="urn:microsoft.com/office/officeart/2005/8/layout/pyramid1"/>
    <dgm:cxn modelId="{0C8D46B5-0A20-46F2-AB34-748089A8885F}" type="presOf" srcId="{7D9F0C55-8352-4290-B31F-6A64F6CF906C}" destId="{5FF5DFBB-65ED-4A8A-A95E-2F5E8C0FDF53}" srcOrd="1" destOrd="0" presId="urn:microsoft.com/office/officeart/2005/8/layout/pyramid1"/>
    <dgm:cxn modelId="{8EA2218F-2F4B-4142-B620-4BB8514E8E98}" type="presOf" srcId="{54ED08B3-E2ED-463E-A55D-3D558540EBA7}" destId="{29E489D0-0678-4544-93EF-8B0F6470B119}" srcOrd="0" destOrd="0" presId="urn:microsoft.com/office/officeart/2005/8/layout/pyramid1"/>
    <dgm:cxn modelId="{AF0911E5-479B-4FFC-8225-56C84F63ED15}" type="presOf" srcId="{C4BF341B-9D45-4E48-820F-D7797CD6CAAE}" destId="{78396B3E-B848-4A06-9463-531C323FB6D7}" srcOrd="0" destOrd="0" presId="urn:microsoft.com/office/officeart/2005/8/layout/pyramid1"/>
    <dgm:cxn modelId="{30638F8A-4A85-414F-9431-C17B5CEA10F3}" type="presOf" srcId="{2F6F4DE6-F470-4467-96F6-CF85DD79A370}" destId="{E6FD1F5A-67A6-49A1-8800-73A9734A6C40}" srcOrd="1" destOrd="0" presId="urn:microsoft.com/office/officeart/2005/8/layout/pyramid1"/>
    <dgm:cxn modelId="{BA80DB47-3AE8-4C5B-ADC9-8498368609EA}" type="presOf" srcId="{B19BAE9B-8FA2-47B7-947A-F2F0BFD25DC8}" destId="{27A0EF87-74FB-4C1C-B0C9-D84923186593}" srcOrd="1" destOrd="0" presId="urn:microsoft.com/office/officeart/2005/8/layout/pyramid1"/>
    <dgm:cxn modelId="{4C1A0C25-778F-4776-BD03-BE3CFA69B339}" type="presParOf" srcId="{97DAE016-BD75-4CC0-962A-1250D9983B8B}" destId="{0AB0D401-700D-45B0-B601-EA914CA78DB6}" srcOrd="0" destOrd="0" presId="urn:microsoft.com/office/officeart/2005/8/layout/pyramid1"/>
    <dgm:cxn modelId="{9C39391C-523D-49AD-AB39-830C31DC943B}" type="presParOf" srcId="{0AB0D401-700D-45B0-B601-EA914CA78DB6}" destId="{78396B3E-B848-4A06-9463-531C323FB6D7}" srcOrd="0" destOrd="0" presId="urn:microsoft.com/office/officeart/2005/8/layout/pyramid1"/>
    <dgm:cxn modelId="{B7E5C6E2-BEFC-4E78-A388-81DDCF61DEE5}" type="presParOf" srcId="{0AB0D401-700D-45B0-B601-EA914CA78DB6}" destId="{311104AC-3132-4938-A6E4-3176F64B9572}" srcOrd="1" destOrd="0" presId="urn:microsoft.com/office/officeart/2005/8/layout/pyramid1"/>
    <dgm:cxn modelId="{FBB71CC7-790C-4C33-B38D-310C6F249CAE}" type="presParOf" srcId="{0AB0D401-700D-45B0-B601-EA914CA78DB6}" destId="{ED15E50E-0A59-486B-9D9E-0004660D5E8D}" srcOrd="2" destOrd="0" presId="urn:microsoft.com/office/officeart/2005/8/layout/pyramid1"/>
    <dgm:cxn modelId="{FD24A185-DC34-40BE-AD8C-01352E6F1890}" type="presParOf" srcId="{0AB0D401-700D-45B0-B601-EA914CA78DB6}" destId="{BD0DC4EF-7B8E-464A-92AD-2AA87258CC27}" srcOrd="3" destOrd="0" presId="urn:microsoft.com/office/officeart/2005/8/layout/pyramid1"/>
    <dgm:cxn modelId="{E87F60AF-E0FB-4F4F-99B0-D0DBC0D056EB}" type="presParOf" srcId="{97DAE016-BD75-4CC0-962A-1250D9983B8B}" destId="{FD4C732E-3B0F-4FD6-860A-B73F124215BE}" srcOrd="1" destOrd="0" presId="urn:microsoft.com/office/officeart/2005/8/layout/pyramid1"/>
    <dgm:cxn modelId="{8C4F04BB-33A6-4C07-9746-E5C628E25243}" type="presParOf" srcId="{FD4C732E-3B0F-4FD6-860A-B73F124215BE}" destId="{2204AED2-4C2F-49E8-915A-2183B12AD794}" srcOrd="0" destOrd="0" presId="urn:microsoft.com/office/officeart/2005/8/layout/pyramid1"/>
    <dgm:cxn modelId="{AE1F4321-BA45-46B7-8063-C3568BA7C610}" type="presParOf" srcId="{FD4C732E-3B0F-4FD6-860A-B73F124215BE}" destId="{B88704A5-E41F-4865-9148-154B01278C7B}" srcOrd="1" destOrd="0" presId="urn:microsoft.com/office/officeart/2005/8/layout/pyramid1"/>
    <dgm:cxn modelId="{E0B097D1-E4AB-4856-8B16-2B664FF82E5B}" type="presParOf" srcId="{FD4C732E-3B0F-4FD6-860A-B73F124215BE}" destId="{012B219F-17DB-4FF7-AB48-F2A85C0BD897}" srcOrd="2" destOrd="0" presId="urn:microsoft.com/office/officeart/2005/8/layout/pyramid1"/>
    <dgm:cxn modelId="{5CD6C868-6EBC-4ABB-91CC-FF62204B630C}" type="presParOf" srcId="{FD4C732E-3B0F-4FD6-860A-B73F124215BE}" destId="{5FF5DFBB-65ED-4A8A-A95E-2F5E8C0FDF53}" srcOrd="3" destOrd="0" presId="urn:microsoft.com/office/officeart/2005/8/layout/pyramid1"/>
    <dgm:cxn modelId="{62512CC5-D305-426D-936B-63D57CE9258F}" type="presParOf" srcId="{97DAE016-BD75-4CC0-962A-1250D9983B8B}" destId="{EE4EAF2F-B640-4CAF-B22A-058AD305924B}" srcOrd="2" destOrd="0" presId="urn:microsoft.com/office/officeart/2005/8/layout/pyramid1"/>
    <dgm:cxn modelId="{D9F40F1B-C4B7-47EE-A5B5-1F988664DB6A}" type="presParOf" srcId="{EE4EAF2F-B640-4CAF-B22A-058AD305924B}" destId="{37309996-0021-4760-B68E-CBB80EF2720A}" srcOrd="0" destOrd="0" presId="urn:microsoft.com/office/officeart/2005/8/layout/pyramid1"/>
    <dgm:cxn modelId="{422EE16D-88D2-4E6F-B2A5-2C6EDAF6A476}" type="presParOf" srcId="{EE4EAF2F-B640-4CAF-B22A-058AD305924B}" destId="{813A0721-1626-4170-8665-934FF18640FC}" srcOrd="1" destOrd="0" presId="urn:microsoft.com/office/officeart/2005/8/layout/pyramid1"/>
    <dgm:cxn modelId="{C2F5A259-6D42-45E7-A45F-BD75983418F4}" type="presParOf" srcId="{EE4EAF2F-B640-4CAF-B22A-058AD305924B}" destId="{E68E62EC-BC6F-432A-86F2-1EE22DB64D6B}" srcOrd="2" destOrd="0" presId="urn:microsoft.com/office/officeart/2005/8/layout/pyramid1"/>
    <dgm:cxn modelId="{8C81E736-F66F-4B02-8FB6-BD69E8C64289}" type="presParOf" srcId="{EE4EAF2F-B640-4CAF-B22A-058AD305924B}" destId="{76F95F43-BE2C-4E3F-A47B-9C2DA53A7C96}" srcOrd="3" destOrd="0" presId="urn:microsoft.com/office/officeart/2005/8/layout/pyramid1"/>
    <dgm:cxn modelId="{21C53D61-ECEB-43F0-9129-E411CFBE5274}" type="presParOf" srcId="{97DAE016-BD75-4CC0-962A-1250D9983B8B}" destId="{4362466B-7DE5-4EE8-AA51-301F195FDE80}" srcOrd="3" destOrd="0" presId="urn:microsoft.com/office/officeart/2005/8/layout/pyramid1"/>
    <dgm:cxn modelId="{B61BB83C-7D47-4696-A3A6-11CD8FC7272B}" type="presParOf" srcId="{4362466B-7DE5-4EE8-AA51-301F195FDE80}" destId="{6395DA25-54FA-4154-A7F2-B2C1842599E5}" srcOrd="0" destOrd="0" presId="urn:microsoft.com/office/officeart/2005/8/layout/pyramid1"/>
    <dgm:cxn modelId="{B91FC037-F28B-4DB0-AC1F-B65469684874}" type="presParOf" srcId="{4362466B-7DE5-4EE8-AA51-301F195FDE80}" destId="{E6FD1F5A-67A6-49A1-8800-73A9734A6C40}" srcOrd="1" destOrd="0" presId="urn:microsoft.com/office/officeart/2005/8/layout/pyramid1"/>
    <dgm:cxn modelId="{7DBFC891-4D1B-48BF-A9DB-7F7BC925DDD0}" type="presParOf" srcId="{4362466B-7DE5-4EE8-AA51-301F195FDE80}" destId="{7858956C-2AA2-4BC3-8802-1ACDC7921760}" srcOrd="2" destOrd="0" presId="urn:microsoft.com/office/officeart/2005/8/layout/pyramid1"/>
    <dgm:cxn modelId="{A0C1E847-87A2-41DF-9E89-E8D3FF9AA4AB}" type="presParOf" srcId="{4362466B-7DE5-4EE8-AA51-301F195FDE80}" destId="{27A0EF87-74FB-4C1C-B0C9-D84923186593}" srcOrd="3" destOrd="0" presId="urn:microsoft.com/office/officeart/2005/8/layout/pyramid1"/>
    <dgm:cxn modelId="{244129B4-9CC0-41E6-A40C-929469448540}" type="presParOf" srcId="{97DAE016-BD75-4CC0-962A-1250D9983B8B}" destId="{955F68FB-93CF-4BA9-B811-89B48A12DC88}" srcOrd="4" destOrd="0" presId="urn:microsoft.com/office/officeart/2005/8/layout/pyramid1"/>
    <dgm:cxn modelId="{7B971EC5-A812-486E-A176-E18D662BB331}" type="presParOf" srcId="{955F68FB-93CF-4BA9-B811-89B48A12DC88}" destId="{29E489D0-0678-4544-93EF-8B0F6470B119}" srcOrd="0" destOrd="0" presId="urn:microsoft.com/office/officeart/2005/8/layout/pyramid1"/>
    <dgm:cxn modelId="{B3950B59-3025-45DA-8E29-4C7D974D2B12}" type="presParOf" srcId="{955F68FB-93CF-4BA9-B811-89B48A12DC88}" destId="{EFC04B86-1AF9-41D2-9418-D28C963D2E38}" srcOrd="1" destOrd="0" presId="urn:microsoft.com/office/officeart/2005/8/layout/pyramid1"/>
    <dgm:cxn modelId="{EBFD12BE-ADB7-4488-94FA-D17ACD30D005}" type="presParOf" srcId="{955F68FB-93CF-4BA9-B811-89B48A12DC88}" destId="{2CF72EB6-BE77-4A38-8A3E-9EF6546D9B90}" srcOrd="2" destOrd="0" presId="urn:microsoft.com/office/officeart/2005/8/layout/pyramid1"/>
    <dgm:cxn modelId="{D4F0CA8F-7ECA-4B9C-B6FB-B13C43CE2A7A}" type="presParOf" srcId="{955F68FB-93CF-4BA9-B811-89B48A12DC88}" destId="{8D47B318-FEF7-4F26-90AE-CB1FBF36A7B8}" srcOrd="3" destOrd="0" presId="urn:microsoft.com/office/officeart/2005/8/layout/pyramid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1A2EA4-5B48-46E0-B466-03B672FF5C80}">
      <dsp:nvSpPr>
        <dsp:cNvPr id="0" name=""/>
        <dsp:cNvSpPr/>
      </dsp:nvSpPr>
      <dsp:spPr>
        <a:xfrm>
          <a:off x="1143000" y="0"/>
          <a:ext cx="3200400" cy="3200400"/>
        </a:xfrm>
        <a:prstGeom prst="ellipse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Printed paper and board substances (#6073)</a:t>
          </a:r>
        </a:p>
      </dsp:txBody>
      <dsp:txXfrm>
        <a:off x="2295784" y="160019"/>
        <a:ext cx="894831" cy="480060"/>
      </dsp:txXfrm>
    </dsp:sp>
    <dsp:sp modelId="{58D9698C-EA5A-4D34-B245-B8898518A9AA}">
      <dsp:nvSpPr>
        <dsp:cNvPr id="0" name=""/>
        <dsp:cNvSpPr/>
      </dsp:nvSpPr>
      <dsp:spPr>
        <a:xfrm>
          <a:off x="1463040" y="640080"/>
          <a:ext cx="2560320" cy="2560320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Non-evaluated substances (#4690)</a:t>
          </a:r>
        </a:p>
      </dsp:txBody>
      <dsp:txXfrm>
        <a:off x="2295784" y="793699"/>
        <a:ext cx="894831" cy="460857"/>
      </dsp:txXfrm>
    </dsp:sp>
    <dsp:sp modelId="{05B090F4-E883-432B-A33E-EF0C19DD9509}">
      <dsp:nvSpPr>
        <dsp:cNvPr id="0" name=""/>
        <dsp:cNvSpPr/>
      </dsp:nvSpPr>
      <dsp:spPr>
        <a:xfrm>
          <a:off x="1783080" y="1280159"/>
          <a:ext cx="1920240" cy="1920240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Non-evaluated single substances (#1769)</a:t>
          </a:r>
        </a:p>
      </dsp:txBody>
      <dsp:txXfrm>
        <a:off x="2295784" y="1424178"/>
        <a:ext cx="894831" cy="432054"/>
      </dsp:txXfrm>
    </dsp:sp>
    <dsp:sp modelId="{E8630843-F679-4FA7-ADB4-BDCF71F850FC}">
      <dsp:nvSpPr>
        <dsp:cNvPr id="0" name=""/>
        <dsp:cNvSpPr/>
      </dsp:nvSpPr>
      <dsp:spPr>
        <a:xfrm>
          <a:off x="2103120" y="1920240"/>
          <a:ext cx="1280160" cy="1280160"/>
        </a:xfrm>
        <a:prstGeom prst="ellipse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Non-evaluated single substances with CAS no. and SMILES (#1723)</a:t>
          </a:r>
        </a:p>
      </dsp:txBody>
      <dsp:txXfrm>
        <a:off x="2290595" y="2240280"/>
        <a:ext cx="905209" cy="640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396B3E-B848-4A06-9463-531C323FB6D7}">
      <dsp:nvSpPr>
        <dsp:cNvPr id="0" name=""/>
        <dsp:cNvSpPr/>
      </dsp:nvSpPr>
      <dsp:spPr>
        <a:xfrm rot="10800000">
          <a:off x="2737866" y="0"/>
          <a:ext cx="4507411" cy="780626"/>
        </a:xfrm>
        <a:prstGeom prst="nonIsoscelesTrapezoid">
          <a:avLst>
            <a:gd name="adj1" fmla="val 0"/>
            <a:gd name="adj2" fmla="val 67041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Positive in 4 (#106)</a:t>
          </a:r>
        </a:p>
      </dsp:txBody>
      <dsp:txXfrm rot="10800000">
        <a:off x="3261208" y="0"/>
        <a:ext cx="3984069" cy="780626"/>
      </dsp:txXfrm>
    </dsp:sp>
    <dsp:sp modelId="{ED15E50E-0A59-486B-9D9E-0004660D5E8D}">
      <dsp:nvSpPr>
        <dsp:cNvPr id="0" name=""/>
        <dsp:cNvSpPr/>
      </dsp:nvSpPr>
      <dsp:spPr>
        <a:xfrm>
          <a:off x="2076561" y="0"/>
          <a:ext cx="1634688" cy="780626"/>
        </a:xfrm>
        <a:prstGeom prst="trapezoid">
          <a:avLst>
            <a:gd name="adj" fmla="val 6704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V/T/D/S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106</a:t>
          </a:r>
        </a:p>
      </dsp:txBody>
      <dsp:txXfrm>
        <a:off x="2076561" y="0"/>
        <a:ext cx="1634688" cy="780626"/>
      </dsp:txXfrm>
    </dsp:sp>
    <dsp:sp modelId="{2204AED2-4C2F-49E8-915A-2183B12AD794}">
      <dsp:nvSpPr>
        <dsp:cNvPr id="0" name=""/>
        <dsp:cNvSpPr/>
      </dsp:nvSpPr>
      <dsp:spPr>
        <a:xfrm rot="10800000">
          <a:off x="3260505" y="780626"/>
          <a:ext cx="3983703" cy="780626"/>
        </a:xfrm>
        <a:prstGeom prst="nonIsoscelesTrapezoid">
          <a:avLst>
            <a:gd name="adj1" fmla="val 0"/>
            <a:gd name="adj2" fmla="val 67041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Positive in 3 (#128)</a:t>
          </a:r>
        </a:p>
      </dsp:txBody>
      <dsp:txXfrm rot="10800000">
        <a:off x="3783846" y="780626"/>
        <a:ext cx="3460362" cy="780626"/>
      </dsp:txXfrm>
    </dsp:sp>
    <dsp:sp modelId="{012B219F-17DB-4FF7-AB48-F2A85C0BD897}">
      <dsp:nvSpPr>
        <dsp:cNvPr id="0" name=""/>
        <dsp:cNvSpPr/>
      </dsp:nvSpPr>
      <dsp:spPr>
        <a:xfrm>
          <a:off x="1552853" y="780626"/>
          <a:ext cx="2682104" cy="780626"/>
        </a:xfrm>
        <a:prstGeom prst="trapezoid">
          <a:avLst>
            <a:gd name="adj" fmla="val 6704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V/T/D</a:t>
          </a:r>
          <a:r>
            <a:rPr lang="en-GB" sz="1000" kern="1200"/>
            <a:t>	</a:t>
          </a:r>
          <a:r>
            <a:rPr lang="en-GB" sz="1000" b="1" kern="1200"/>
            <a:t>V/T/S</a:t>
          </a:r>
          <a:r>
            <a:rPr lang="en-GB" sz="1000" kern="1200"/>
            <a:t>	</a:t>
          </a:r>
          <a:r>
            <a:rPr lang="en-GB" sz="1000" b="1" kern="1200"/>
            <a:t>V/D/S</a:t>
          </a:r>
          <a:r>
            <a:rPr lang="en-GB" sz="1000" kern="1200"/>
            <a:t>	</a:t>
          </a:r>
          <a:r>
            <a:rPr lang="en-GB" sz="1000" b="1" kern="1200"/>
            <a:t>T/D/S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77          41	6	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	</a:t>
          </a:r>
          <a:r>
            <a:rPr lang="en-GB" sz="1000" i="1" kern="1200"/>
            <a:t>(4)		(4)</a:t>
          </a:r>
        </a:p>
      </dsp:txBody>
      <dsp:txXfrm>
        <a:off x="2022222" y="780626"/>
        <a:ext cx="1743368" cy="780626"/>
      </dsp:txXfrm>
    </dsp:sp>
    <dsp:sp modelId="{37309996-0021-4760-B68E-CBB80EF2720A}">
      <dsp:nvSpPr>
        <dsp:cNvPr id="0" name=""/>
        <dsp:cNvSpPr/>
      </dsp:nvSpPr>
      <dsp:spPr>
        <a:xfrm rot="10800000">
          <a:off x="3768530" y="1561253"/>
          <a:ext cx="3467589" cy="780626"/>
        </a:xfrm>
        <a:prstGeom prst="nonIsoscelesTrapezoid">
          <a:avLst>
            <a:gd name="adj1" fmla="val 0"/>
            <a:gd name="adj2" fmla="val 67041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Positive in 2 (#94)</a:t>
          </a:r>
        </a:p>
      </dsp:txBody>
      <dsp:txXfrm rot="10800000">
        <a:off x="4291872" y="1561253"/>
        <a:ext cx="2944247" cy="780626"/>
      </dsp:txXfrm>
    </dsp:sp>
    <dsp:sp modelId="{E68E62EC-BC6F-432A-86F2-1EE22DB64D6B}">
      <dsp:nvSpPr>
        <dsp:cNvPr id="0" name=""/>
        <dsp:cNvSpPr/>
      </dsp:nvSpPr>
      <dsp:spPr>
        <a:xfrm>
          <a:off x="1036739" y="1561253"/>
          <a:ext cx="3714333" cy="780626"/>
        </a:xfrm>
        <a:prstGeom prst="trapezoid">
          <a:avLst>
            <a:gd name="adj" fmla="val 6704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 V/T</a:t>
          </a:r>
          <a:r>
            <a:rPr lang="en-GB" sz="1000" kern="1200"/>
            <a:t>	</a:t>
          </a:r>
          <a:r>
            <a:rPr lang="en-GB" sz="1000" b="1" kern="1200"/>
            <a:t>V/D       </a:t>
          </a:r>
          <a:r>
            <a:rPr lang="en-GB" sz="1000" kern="1200"/>
            <a:t> </a:t>
          </a:r>
          <a:r>
            <a:rPr lang="en-GB" sz="1000" b="1" kern="1200"/>
            <a:t>V/S</a:t>
          </a:r>
          <a:r>
            <a:rPr lang="en-GB" sz="1000" kern="1200"/>
            <a:t>	 </a:t>
          </a:r>
          <a:r>
            <a:rPr lang="en-GB" sz="1000" b="1" kern="1200"/>
            <a:t>T/D</a:t>
          </a:r>
          <a:r>
            <a:rPr lang="en-GB" sz="1000" kern="1200"/>
            <a:t>	</a:t>
          </a:r>
          <a:r>
            <a:rPr lang="en-GB" sz="1000" b="1" kern="1200"/>
            <a:t>D/S        T/S</a:t>
          </a:r>
        </a:p>
        <a:p>
          <a:pPr lvl="0" algn="di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   45	   6	 19	  18	   3	  3</a:t>
          </a:r>
        </a:p>
        <a:p>
          <a:pPr lvl="0" algn="di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i="1" kern="1200"/>
            <a:t>  (11)	  (1)       (1)        (17)       (2)       (3)</a:t>
          </a:r>
          <a:endParaRPr lang="en-GB" sz="2200" i="1" kern="1200"/>
        </a:p>
      </dsp:txBody>
      <dsp:txXfrm>
        <a:off x="1686748" y="1561253"/>
        <a:ext cx="2414316" cy="780626"/>
      </dsp:txXfrm>
    </dsp:sp>
    <dsp:sp modelId="{6395DA25-54FA-4154-A7F2-B2C1842599E5}">
      <dsp:nvSpPr>
        <dsp:cNvPr id="0" name=""/>
        <dsp:cNvSpPr/>
      </dsp:nvSpPr>
      <dsp:spPr>
        <a:xfrm rot="10800000">
          <a:off x="4284789" y="2341887"/>
          <a:ext cx="2943865" cy="780626"/>
        </a:xfrm>
        <a:prstGeom prst="nonIsoscelesTrapezoid">
          <a:avLst>
            <a:gd name="adj1" fmla="val 0"/>
            <a:gd name="adj2" fmla="val 67041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Positive in 1 (#204)</a:t>
          </a:r>
        </a:p>
      </dsp:txBody>
      <dsp:txXfrm rot="10800000">
        <a:off x="4808131" y="2341887"/>
        <a:ext cx="2420524" cy="780626"/>
      </dsp:txXfrm>
    </dsp:sp>
    <dsp:sp modelId="{7858956C-2AA2-4BC3-8802-1ACDC7921760}">
      <dsp:nvSpPr>
        <dsp:cNvPr id="0" name=""/>
        <dsp:cNvSpPr/>
      </dsp:nvSpPr>
      <dsp:spPr>
        <a:xfrm>
          <a:off x="512974" y="2341879"/>
          <a:ext cx="4761780" cy="780626"/>
        </a:xfrm>
        <a:prstGeom prst="trapezoid">
          <a:avLst>
            <a:gd name="adj" fmla="val 6704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V		T		D		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50		72		35		47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 </a:t>
          </a:r>
          <a:r>
            <a:rPr lang="en-GB" sz="1000" i="1" kern="1200"/>
            <a:t>(4)		(62)		(23)		(35)</a:t>
          </a:r>
        </a:p>
      </dsp:txBody>
      <dsp:txXfrm>
        <a:off x="1346285" y="2341879"/>
        <a:ext cx="3095157" cy="780626"/>
      </dsp:txXfrm>
    </dsp:sp>
    <dsp:sp modelId="{29E489D0-0678-4544-93EF-8B0F6470B119}">
      <dsp:nvSpPr>
        <dsp:cNvPr id="0" name=""/>
        <dsp:cNvSpPr/>
      </dsp:nvSpPr>
      <dsp:spPr>
        <a:xfrm rot="10800000">
          <a:off x="4809589" y="3122506"/>
          <a:ext cx="2429970" cy="780626"/>
        </a:xfrm>
        <a:prstGeom prst="nonIsoscelesTrapezoid">
          <a:avLst>
            <a:gd name="adj1" fmla="val 0"/>
            <a:gd name="adj2" fmla="val 67041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Positive in 0 (#1191)</a:t>
          </a:r>
        </a:p>
      </dsp:txBody>
      <dsp:txXfrm rot="10800000">
        <a:off x="5332931" y="3122506"/>
        <a:ext cx="1906628" cy="780626"/>
      </dsp:txXfrm>
    </dsp:sp>
    <dsp:sp modelId="{2CF72EB6-BE77-4A38-8A3E-9EF6546D9B90}">
      <dsp:nvSpPr>
        <dsp:cNvPr id="0" name=""/>
        <dsp:cNvSpPr/>
      </dsp:nvSpPr>
      <dsp:spPr>
        <a:xfrm>
          <a:off x="0" y="3122506"/>
          <a:ext cx="5789571" cy="780626"/>
        </a:xfrm>
        <a:prstGeom prst="trapezoid">
          <a:avLst>
            <a:gd name="adj" fmla="val 6704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Negative but outside domain in </a:t>
          </a:r>
          <a:r>
            <a:rPr lang="en-GB" sz="1000" b="1" kern="1200">
              <a:latin typeface="Calibri"/>
            </a:rPr>
            <a:t>≥ 1 tool</a:t>
          </a:r>
          <a:endParaRPr lang="en-GB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619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i="0" kern="1200"/>
            <a:t>Negative in all tools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i="0" kern="1200"/>
            <a:t>572</a:t>
          </a:r>
        </a:p>
      </dsp:txBody>
      <dsp:txXfrm>
        <a:off x="1013174" y="3122506"/>
        <a:ext cx="3763221" cy="780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DD74-A7CB-4C74-BB54-9706DD11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8369</Words>
  <Characters>47707</Characters>
  <Application>Microsoft Office Word</Application>
  <DocSecurity>0</DocSecurity>
  <Lines>397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</Company>
  <LinksUpToDate>false</LinksUpToDate>
  <CharactersWithSpaces>55965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Bossuyt, Melissa</dc:creator>
  <cp:lastModifiedBy>Van Bossuyt, Melissa</cp:lastModifiedBy>
  <cp:revision>2</cp:revision>
  <cp:lastPrinted>2016-12-28T21:08:00Z</cp:lastPrinted>
  <dcterms:created xsi:type="dcterms:W3CDTF">2017-01-30T23:53:00Z</dcterms:created>
  <dcterms:modified xsi:type="dcterms:W3CDTF">2017-01-30T23:53:00Z</dcterms:modified>
</cp:coreProperties>
</file>