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6C7" w14:textId="77777777" w:rsidR="003740CA" w:rsidRDefault="003740CA" w:rsidP="00316441">
      <w:pPr>
        <w:pStyle w:val="Heading2"/>
        <w:numPr>
          <w:ilvl w:val="0"/>
          <w:numId w:val="0"/>
        </w:numPr>
        <w:spacing w:before="360" w:after="0"/>
        <w:contextualSpacing w:val="0"/>
        <w:rPr>
          <w:rFonts w:asciiTheme="minorHAnsi" w:hAnsiTheme="minorHAnsi" w:cstheme="minorHAnsi"/>
        </w:rPr>
      </w:pPr>
    </w:p>
    <w:p w14:paraId="7D1022DA" w14:textId="5EB143B0" w:rsidR="00316441" w:rsidRPr="002E770A" w:rsidRDefault="00316441" w:rsidP="00316441">
      <w:pPr>
        <w:pStyle w:val="Heading2"/>
        <w:numPr>
          <w:ilvl w:val="0"/>
          <w:numId w:val="0"/>
        </w:numPr>
        <w:spacing w:before="360" w:after="0"/>
        <w:contextualSpacing w:val="0"/>
        <w:rPr>
          <w:rFonts w:asciiTheme="minorHAnsi" w:hAnsiTheme="minorHAnsi" w:cstheme="minorHAnsi"/>
        </w:rPr>
      </w:pPr>
      <w:r w:rsidRPr="002E770A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FA4E226" wp14:editId="5384BF0B">
            <wp:simplePos x="0" y="0"/>
            <wp:positionH relativeFrom="column">
              <wp:posOffset>4438015</wp:posOffset>
            </wp:positionH>
            <wp:positionV relativeFrom="paragraph">
              <wp:posOffset>-545465</wp:posOffset>
            </wp:positionV>
            <wp:extent cx="1901825" cy="60515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70A">
        <w:rPr>
          <w:rFonts w:asciiTheme="minorHAnsi" w:hAnsiTheme="minorHAnsi" w:cstheme="minorHAnsi"/>
        </w:rPr>
        <w:t>Evaluation de la situation épidémiologique</w:t>
      </w:r>
      <w:r>
        <w:rPr>
          <w:rFonts w:asciiTheme="minorHAnsi" w:hAnsiTheme="minorHAnsi" w:cstheme="minorHAnsi"/>
        </w:rPr>
        <w:t xml:space="preserve"> </w:t>
      </w:r>
      <w:r w:rsidR="004805EB">
        <w:rPr>
          <w:rFonts w:asciiTheme="minorHAnsi" w:hAnsiTheme="minorHAnsi" w:cstheme="minorHAnsi"/>
        </w:rPr>
        <w:t>des infections respiratoires</w:t>
      </w:r>
    </w:p>
    <w:p w14:paraId="6F16088B" w14:textId="77777777" w:rsidR="00316441" w:rsidRPr="002E770A" w:rsidRDefault="00316441" w:rsidP="00316441">
      <w:pPr>
        <w:pStyle w:val="BodySciensano"/>
        <w:jc w:val="center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B52A65F" w14:textId="510F5FAD" w:rsidR="00316441" w:rsidRPr="002E770A" w:rsidRDefault="00316441" w:rsidP="00316441">
      <w:pPr>
        <w:pStyle w:val="BodySciensano"/>
        <w:jc w:val="center"/>
        <w:rPr>
          <w:rFonts w:asciiTheme="minorHAnsi" w:hAnsiTheme="minorHAnsi" w:cstheme="minorHAnsi"/>
          <w:b/>
          <w:color w:val="808080" w:themeColor="background1" w:themeShade="80"/>
        </w:rPr>
      </w:pPr>
      <w:r w:rsidRPr="002E770A">
        <w:rPr>
          <w:rFonts w:asciiTheme="minorHAnsi" w:hAnsiTheme="minorHAnsi" w:cstheme="minorHAnsi"/>
          <w:b/>
          <w:color w:val="808080" w:themeColor="background1" w:themeShade="80"/>
        </w:rPr>
        <w:t xml:space="preserve">RAG </w:t>
      </w:r>
      <w:r w:rsidR="00AE013B">
        <w:rPr>
          <w:rFonts w:asciiTheme="minorHAnsi" w:hAnsiTheme="minorHAnsi" w:cstheme="minorHAnsi"/>
          <w:b/>
          <w:color w:val="808080" w:themeColor="background1" w:themeShade="80"/>
        </w:rPr>
        <w:t>1</w:t>
      </w:r>
      <w:r w:rsidR="001F5D52">
        <w:rPr>
          <w:rFonts w:asciiTheme="minorHAnsi" w:hAnsiTheme="minorHAnsi" w:cstheme="minorHAnsi"/>
          <w:b/>
          <w:color w:val="808080" w:themeColor="background1" w:themeShade="80"/>
        </w:rPr>
        <w:t>9</w:t>
      </w:r>
      <w:r w:rsidRPr="002E770A">
        <w:rPr>
          <w:rFonts w:asciiTheme="minorHAnsi" w:hAnsiTheme="minorHAnsi" w:cstheme="minorHAnsi"/>
          <w:b/>
          <w:color w:val="808080" w:themeColor="background1" w:themeShade="80"/>
        </w:rPr>
        <w:t>/</w:t>
      </w:r>
      <w:r w:rsidR="00AE013B">
        <w:rPr>
          <w:rFonts w:asciiTheme="minorHAnsi" w:hAnsiTheme="minorHAnsi" w:cstheme="minorHAnsi"/>
          <w:b/>
          <w:color w:val="808080" w:themeColor="background1" w:themeShade="80"/>
        </w:rPr>
        <w:t>10</w:t>
      </w:r>
      <w:r w:rsidR="0034064D">
        <w:rPr>
          <w:rFonts w:asciiTheme="minorHAnsi" w:hAnsiTheme="minorHAnsi" w:cstheme="minorHAnsi"/>
          <w:b/>
          <w:color w:val="808080" w:themeColor="background1" w:themeShade="80"/>
        </w:rPr>
        <w:t>/2023</w:t>
      </w:r>
    </w:p>
    <w:p w14:paraId="6CC55750" w14:textId="77977DD0" w:rsidR="00316441" w:rsidRDefault="00BC3E46" w:rsidP="00316441">
      <w:pPr>
        <w:pStyle w:val="BodySciensano"/>
        <w:spacing w:line="276" w:lineRule="auto"/>
        <w:jc w:val="both"/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 w:rsidRPr="00246CA3">
        <w:rPr>
          <w:rFonts w:ascii="Arial" w:eastAsia="Arial" w:hAnsi="Arial"/>
          <w:bCs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CA3D" wp14:editId="5442660D">
                <wp:simplePos x="0" y="0"/>
                <wp:positionH relativeFrom="margin">
                  <wp:posOffset>508000</wp:posOffset>
                </wp:positionH>
                <wp:positionV relativeFrom="margin">
                  <wp:posOffset>1506220</wp:posOffset>
                </wp:positionV>
                <wp:extent cx="7145655" cy="48768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4876800"/>
                        </a:xfrm>
                        <a:prstGeom prst="rect">
                          <a:avLst/>
                        </a:prstGeom>
                        <a:solidFill>
                          <a:srgbClr val="3AAA3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6CA2" w14:textId="7CC45148" w:rsidR="0025270D" w:rsidRDefault="0025270D" w:rsidP="00300063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39640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</w:rPr>
                              <w:t>Conclusions et recommandations</w:t>
                            </w:r>
                          </w:p>
                          <w:p w14:paraId="6FE865C5" w14:textId="269B01C6" w:rsidR="00991A50" w:rsidRDefault="006F0DC5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5952CF">
                              <w:rPr>
                                <w:rFonts w:cstheme="minorHAnsi"/>
                              </w:rPr>
                              <w:t xml:space="preserve">a situation épidémiologique pour les infections respiratoires </w:t>
                            </w:r>
                            <w:r>
                              <w:rPr>
                                <w:rFonts w:cstheme="minorHAnsi"/>
                              </w:rPr>
                              <w:t xml:space="preserve">en Belgique </w:t>
                            </w:r>
                            <w:r w:rsidR="005952CF">
                              <w:rPr>
                                <w:rFonts w:cstheme="minorHAnsi"/>
                              </w:rPr>
                              <w:t>se situe</w:t>
                            </w:r>
                            <w:r w:rsidR="002007E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007E4" w:rsidRPr="00467E25">
                              <w:rPr>
                                <w:rFonts w:cstheme="minorHAnsi"/>
                              </w:rPr>
                              <w:t>toujours</w:t>
                            </w:r>
                            <w:r w:rsidR="005952C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952CF" w:rsidRPr="0078675B">
                              <w:rPr>
                                <w:rFonts w:cstheme="minorHAnsi"/>
                              </w:rPr>
                              <w:t xml:space="preserve">au niveau </w:t>
                            </w:r>
                            <w:r w:rsidRPr="0078675B">
                              <w:rPr>
                                <w:rFonts w:cstheme="minorHAnsi"/>
                              </w:rPr>
                              <w:t xml:space="preserve">de base - </w:t>
                            </w:r>
                            <w:r w:rsidR="005952CF" w:rsidRPr="0078675B">
                              <w:rPr>
                                <w:rFonts w:cstheme="minorHAnsi"/>
                                <w:b/>
                                <w:bCs/>
                              </w:rPr>
                              <w:t>vert</w:t>
                            </w:r>
                            <w:r w:rsidR="005952C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8FB3D3A" w14:textId="322AD33E" w:rsidR="001C5571" w:rsidRDefault="005952CF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73BF0">
                              <w:rPr>
                                <w:rFonts w:cstheme="minorHAnsi"/>
                              </w:rPr>
                              <w:t>L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>a</w:t>
                            </w:r>
                            <w:r w:rsidRPr="00173BF0">
                              <w:rPr>
                                <w:rFonts w:cstheme="minorHAnsi"/>
                              </w:rPr>
                              <w:t xml:space="preserve"> surveillance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 xml:space="preserve"> via les réseaux </w:t>
                            </w:r>
                            <w:r w:rsidRPr="00173BF0">
                              <w:rPr>
                                <w:rFonts w:cstheme="minorHAnsi"/>
                              </w:rPr>
                              <w:t>sentinelle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>s</w:t>
                            </w:r>
                            <w:r w:rsidR="001C5571">
                              <w:rPr>
                                <w:rFonts w:cstheme="minorHAnsi"/>
                              </w:rPr>
                              <w:t xml:space="preserve"> de médecins généralistes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 xml:space="preserve"> montre une tendance </w:t>
                            </w:r>
                            <w:r w:rsidR="00341F08">
                              <w:rPr>
                                <w:rFonts w:cstheme="minorHAnsi"/>
                              </w:rPr>
                              <w:t>stable</w:t>
                            </w:r>
                            <w:r w:rsidR="001C55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 xml:space="preserve">du nombre de consultations </w:t>
                            </w:r>
                            <w:r w:rsidR="001C5571">
                              <w:rPr>
                                <w:rFonts w:cstheme="minorHAnsi"/>
                              </w:rPr>
                              <w:t xml:space="preserve">tant pour 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 xml:space="preserve">symptômes ILI </w:t>
                            </w:r>
                            <w:r w:rsidR="001C5571">
                              <w:rPr>
                                <w:rFonts w:cstheme="minorHAnsi"/>
                              </w:rPr>
                              <w:t>que</w:t>
                            </w:r>
                            <w:r w:rsidR="001C5571" w:rsidRPr="00173BF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 xml:space="preserve">pour </w:t>
                            </w:r>
                            <w:r w:rsidR="001C5571">
                              <w:rPr>
                                <w:rFonts w:cstheme="minorHAnsi"/>
                              </w:rPr>
                              <w:t xml:space="preserve">suspicion de </w:t>
                            </w:r>
                            <w:r w:rsidR="00176AFE" w:rsidRPr="00173BF0">
                              <w:rPr>
                                <w:rFonts w:cstheme="minorHAnsi"/>
                              </w:rPr>
                              <w:t>COVID-19</w:t>
                            </w:r>
                            <w:r w:rsidR="00173BF0" w:rsidRPr="00173BF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922F248" w14:textId="53523C78" w:rsidR="005952CF" w:rsidRPr="00467E25" w:rsidRDefault="001C5571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 réseau des hôpitaux sentinelles a montré une augmentation du</w:t>
                            </w:r>
                            <w:r w:rsidR="00173BF0" w:rsidRPr="00173BF0">
                              <w:rPr>
                                <w:rFonts w:cstheme="minorHAnsi"/>
                              </w:rPr>
                              <w:t xml:space="preserve"> nombre d’hospitalisations pour infections respiratoire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73BF0" w:rsidRPr="00173BF0">
                              <w:rPr>
                                <w:rFonts w:cstheme="minorHAnsi"/>
                              </w:rPr>
                              <w:t xml:space="preserve"> aigüe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73BF0" w:rsidRPr="00173BF0">
                              <w:rPr>
                                <w:rFonts w:cstheme="minorHAnsi"/>
                              </w:rPr>
                              <w:t xml:space="preserve"> sévère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73BF0" w:rsidRPr="00173BF0">
                              <w:rPr>
                                <w:rFonts w:cstheme="minorHAnsi"/>
                              </w:rPr>
                              <w:t xml:space="preserve"> (SARI) </w:t>
                            </w:r>
                            <w:r>
                              <w:rPr>
                                <w:rFonts w:cstheme="minorHAnsi"/>
                              </w:rPr>
                              <w:t xml:space="preserve">les dernières semaines, </w:t>
                            </w:r>
                            <w:r w:rsidRPr="00467E25">
                              <w:rPr>
                                <w:rFonts w:cstheme="minorHAnsi"/>
                              </w:rPr>
                              <w:t xml:space="preserve">mais il </w:t>
                            </w:r>
                            <w:r w:rsidR="002007E4" w:rsidRPr="00467E25">
                              <w:rPr>
                                <w:rFonts w:cstheme="minorHAnsi"/>
                              </w:rPr>
                              <w:t>semble</w:t>
                            </w:r>
                            <w:r w:rsidRPr="00467E25">
                              <w:rPr>
                                <w:rFonts w:cstheme="minorHAnsi"/>
                              </w:rPr>
                              <w:t xml:space="preserve"> à présent en diminution</w:t>
                            </w:r>
                            <w:r w:rsidR="002007E4" w:rsidRPr="00467E25">
                              <w:rPr>
                                <w:rFonts w:cstheme="minorHAnsi"/>
                              </w:rPr>
                              <w:t xml:space="preserve"> (données non consolidées)</w:t>
                            </w:r>
                            <w:r w:rsidR="00173BF0" w:rsidRPr="00467E2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792C4C7" w14:textId="6FE1AA06" w:rsidR="001C5571" w:rsidRPr="00173BF0" w:rsidRDefault="001C5571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La concentration de SARS-CoV-2 détectée dans les eaux usées reste stable mais à un niveau élevé, en particulier en Wallonie.</w:t>
                            </w:r>
                          </w:p>
                          <w:p w14:paraId="3254C63E" w14:textId="0484FD67" w:rsidR="00176AFE" w:rsidRDefault="00176AFE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La surveillance moléculaire</w:t>
                            </w:r>
                            <w:r w:rsidR="00173BF0">
                              <w:rPr>
                                <w:rFonts w:cstheme="minorHAnsi"/>
                              </w:rPr>
                              <w:t xml:space="preserve"> indique que le variant EG.5 </w:t>
                            </w:r>
                            <w:r w:rsidR="001C5571">
                              <w:rPr>
                                <w:rFonts w:cstheme="minorHAnsi"/>
                              </w:rPr>
                              <w:t>est toujours le variant dominant</w:t>
                            </w:r>
                            <w:r w:rsidR="00173BF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DA6F930" w14:textId="14E6AC27" w:rsidR="002E631A" w:rsidRPr="00467E25" w:rsidRDefault="001C5571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La campagne de v</w:t>
                            </w:r>
                            <w:r w:rsidR="002E631A">
                              <w:rPr>
                                <w:rFonts w:cstheme="minorHAnsi"/>
                              </w:rPr>
                              <w:t>accination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se poursuit ; 25,6 % des personnes âgées de 65 à 84 ans ayant reçu une dose de vaccin </w:t>
                            </w:r>
                            <w:r w:rsidRPr="00467E25">
                              <w:rPr>
                                <w:rFonts w:cstheme="minorHAnsi"/>
                              </w:rPr>
                              <w:t>dans les six derniers mois, et 30,4 % des personnes âgées de 85 ans et plus.</w:t>
                            </w:r>
                          </w:p>
                          <w:p w14:paraId="11B37053" w14:textId="20315F84" w:rsidR="007B3DD1" w:rsidRPr="00467E25" w:rsidRDefault="007B3DD1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E25">
                              <w:rPr>
                                <w:rFonts w:cstheme="minorHAnsi"/>
                              </w:rPr>
                              <w:t>La situation en Belgique est comparable à celle de nos pays voisins. L’ECDC rapporte une augmentation des cas d’infections respiratoires en partie liée à une circulation accrue du SARS-CoV-2</w:t>
                            </w:r>
                            <w:r w:rsidR="00ED148A" w:rsidRPr="00467E25">
                              <w:rPr>
                                <w:rFonts w:cstheme="minorHAnsi"/>
                              </w:rPr>
                              <w:t>, mais sans impact majeur au niveau clinique, l</w:t>
                            </w:r>
                            <w:r w:rsidRPr="00467E25">
                              <w:rPr>
                                <w:rFonts w:cstheme="minorHAnsi"/>
                              </w:rPr>
                              <w:t>es hospitalisations et admissions aux soins intensifs rest</w:t>
                            </w:r>
                            <w:r w:rsidR="00ED148A" w:rsidRPr="00467E25">
                              <w:rPr>
                                <w:rFonts w:cstheme="minorHAnsi"/>
                              </w:rPr>
                              <w:t>a</w:t>
                            </w:r>
                            <w:r w:rsidRPr="00467E25">
                              <w:rPr>
                                <w:rFonts w:cstheme="minorHAnsi"/>
                              </w:rPr>
                              <w:t>nt limitées.</w:t>
                            </w:r>
                          </w:p>
                          <w:p w14:paraId="7CCA1115" w14:textId="25FF6543" w:rsidR="002007E4" w:rsidRPr="00A7182A" w:rsidRDefault="002007E4" w:rsidP="00C80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7182A">
                              <w:rPr>
                                <w:rFonts w:cstheme="minorHAnsi"/>
                              </w:rPr>
                              <w:t>Le RAG insiste sur l’importance de maintenir les mesures de base : rester chez soi en cas de symptômes</w:t>
                            </w:r>
                            <w:r w:rsidR="00BC3E46" w:rsidRPr="00A7182A">
                              <w:rPr>
                                <w:rFonts w:cstheme="minorHAnsi"/>
                              </w:rPr>
                              <w:t>, ventil</w:t>
                            </w:r>
                            <w:r w:rsidR="00A7182A" w:rsidRPr="00A7182A">
                              <w:rPr>
                                <w:rFonts w:cstheme="minorHAnsi"/>
                              </w:rPr>
                              <w:t>er</w:t>
                            </w:r>
                            <w:r w:rsidR="00BC3E46" w:rsidRPr="00A7182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7182A" w:rsidRPr="00A7182A">
                              <w:rPr>
                                <w:rFonts w:cstheme="minorHAnsi"/>
                              </w:rPr>
                              <w:t>l</w:t>
                            </w:r>
                            <w:r w:rsidR="00BC3E46" w:rsidRPr="00A7182A">
                              <w:rPr>
                                <w:rFonts w:cstheme="minorHAnsi"/>
                              </w:rPr>
                              <w:t>es espaces intérieurs,</w:t>
                            </w:r>
                            <w:r w:rsidRPr="00A7182A">
                              <w:rPr>
                                <w:rFonts w:cstheme="minorHAnsi"/>
                              </w:rPr>
                              <w:t xml:space="preserve"> port du masque en cas de symptômes</w:t>
                            </w:r>
                            <w:r w:rsidR="00F2332E" w:rsidRPr="00A7182A">
                              <w:rPr>
                                <w:rFonts w:cstheme="minorHAnsi"/>
                              </w:rPr>
                              <w:t>,</w:t>
                            </w:r>
                            <w:r w:rsidRPr="00A7182A">
                              <w:rPr>
                                <w:rFonts w:cstheme="minorHAnsi"/>
                              </w:rPr>
                              <w:t xml:space="preserve"> lors de visites chez le médecin généraliste</w:t>
                            </w:r>
                            <w:r w:rsidR="00F2332E" w:rsidRPr="00A7182A">
                              <w:rPr>
                                <w:rFonts w:cstheme="minorHAnsi"/>
                              </w:rPr>
                              <w:t xml:space="preserve"> ou en cas de contact avec des personnes vulnérables.</w:t>
                            </w:r>
                            <w:r w:rsidR="00BC3E46" w:rsidRPr="00A7182A">
                              <w:rPr>
                                <w:rFonts w:cstheme="minorHAnsi"/>
                              </w:rPr>
                              <w:t xml:space="preserve"> Le RAG souligne également l'importance de la vaccination contre les pathogènes respiratoires, comme le recommandent les avis du HGR/CSS (grippe, COVID-19, RS</w:t>
                            </w:r>
                            <w:r w:rsidR="00A7182A" w:rsidRPr="00A7182A">
                              <w:rPr>
                                <w:rFonts w:cstheme="minorHAnsi"/>
                              </w:rPr>
                              <w:t>V</w:t>
                            </w:r>
                            <w:r w:rsidR="00BC3E46" w:rsidRPr="00A7182A">
                              <w:rPr>
                                <w:rFonts w:cstheme="minorHAnsi"/>
                              </w:rPr>
                              <w:t xml:space="preserve"> et pneumocoques) afin de protéger au mieux la population sensible au cours de cette saison respiratoire.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C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pt;margin-top:118.6pt;width:562.65pt;height:38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" fillcolor="#d5f1d3">
                <v:textbox>
                  <w:txbxContent>
                    <w:p w14:paraId="48436CA2" w14:textId="7CC45148" w:rsidR="0025270D" w:rsidRDefault="0025270D" w:rsidP="00300063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39640E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</w:rPr>
                        <w:t>Conclusions et recommandations</w:t>
                      </w:r>
                    </w:p>
                    <w:p w14:paraId="6FE865C5" w14:textId="269B01C6" w:rsidR="00991A50" w:rsidRDefault="006F0DC5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="005952CF">
                        <w:rPr>
                          <w:rFonts w:cstheme="minorHAnsi"/>
                        </w:rPr>
                        <w:t xml:space="preserve">a situation épidémiologique pour les infections respiratoires </w:t>
                      </w:r>
                      <w:r>
                        <w:rPr>
                          <w:rFonts w:cstheme="minorHAnsi"/>
                        </w:rPr>
                        <w:t xml:space="preserve">en Belgique </w:t>
                      </w:r>
                      <w:r w:rsidR="005952CF">
                        <w:rPr>
                          <w:rFonts w:cstheme="minorHAnsi"/>
                        </w:rPr>
                        <w:t>se situe</w:t>
                      </w:r>
                      <w:r w:rsidR="002007E4">
                        <w:rPr>
                          <w:rFonts w:cstheme="minorHAnsi"/>
                        </w:rPr>
                        <w:t xml:space="preserve"> </w:t>
                      </w:r>
                      <w:r w:rsidR="002007E4" w:rsidRPr="00467E25">
                        <w:rPr>
                          <w:rFonts w:cstheme="minorHAnsi"/>
                        </w:rPr>
                        <w:t>toujours</w:t>
                      </w:r>
                      <w:r w:rsidR="005952CF">
                        <w:rPr>
                          <w:rFonts w:cstheme="minorHAnsi"/>
                        </w:rPr>
                        <w:t xml:space="preserve"> </w:t>
                      </w:r>
                      <w:r w:rsidR="005952CF" w:rsidRPr="0078675B">
                        <w:rPr>
                          <w:rFonts w:cstheme="minorHAnsi"/>
                        </w:rPr>
                        <w:t xml:space="preserve">au niveau </w:t>
                      </w:r>
                      <w:r w:rsidRPr="0078675B">
                        <w:rPr>
                          <w:rFonts w:cstheme="minorHAnsi"/>
                        </w:rPr>
                        <w:t xml:space="preserve">de base - </w:t>
                      </w:r>
                      <w:r w:rsidR="005952CF" w:rsidRPr="0078675B">
                        <w:rPr>
                          <w:rFonts w:cstheme="minorHAnsi"/>
                          <w:b/>
                          <w:bCs/>
                        </w:rPr>
                        <w:t>vert</w:t>
                      </w:r>
                      <w:r w:rsidR="005952CF">
                        <w:rPr>
                          <w:rFonts w:cstheme="minorHAnsi"/>
                        </w:rPr>
                        <w:t>.</w:t>
                      </w:r>
                    </w:p>
                    <w:p w14:paraId="38FB3D3A" w14:textId="322AD33E" w:rsidR="001C5571" w:rsidRDefault="005952CF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173BF0">
                        <w:rPr>
                          <w:rFonts w:cstheme="minorHAnsi"/>
                        </w:rPr>
                        <w:t>L</w:t>
                      </w:r>
                      <w:r w:rsidR="00176AFE" w:rsidRPr="00173BF0">
                        <w:rPr>
                          <w:rFonts w:cstheme="minorHAnsi"/>
                        </w:rPr>
                        <w:t>a</w:t>
                      </w:r>
                      <w:r w:rsidRPr="00173BF0">
                        <w:rPr>
                          <w:rFonts w:cstheme="minorHAnsi"/>
                        </w:rPr>
                        <w:t xml:space="preserve"> surveillance</w:t>
                      </w:r>
                      <w:r w:rsidR="00176AFE" w:rsidRPr="00173BF0">
                        <w:rPr>
                          <w:rFonts w:cstheme="minorHAnsi"/>
                        </w:rPr>
                        <w:t xml:space="preserve"> via les réseaux </w:t>
                      </w:r>
                      <w:r w:rsidRPr="00173BF0">
                        <w:rPr>
                          <w:rFonts w:cstheme="minorHAnsi"/>
                        </w:rPr>
                        <w:t>sentinelle</w:t>
                      </w:r>
                      <w:r w:rsidR="00176AFE" w:rsidRPr="00173BF0">
                        <w:rPr>
                          <w:rFonts w:cstheme="minorHAnsi"/>
                        </w:rPr>
                        <w:t>s</w:t>
                      </w:r>
                      <w:r w:rsidR="001C5571">
                        <w:rPr>
                          <w:rFonts w:cstheme="minorHAnsi"/>
                        </w:rPr>
                        <w:t xml:space="preserve"> de médecins généralistes</w:t>
                      </w:r>
                      <w:r w:rsidR="00176AFE" w:rsidRPr="00173BF0">
                        <w:rPr>
                          <w:rFonts w:cstheme="minorHAnsi"/>
                        </w:rPr>
                        <w:t xml:space="preserve"> montre une tendance </w:t>
                      </w:r>
                      <w:r w:rsidR="00341F08">
                        <w:rPr>
                          <w:rFonts w:cstheme="minorHAnsi"/>
                        </w:rPr>
                        <w:t>stable</w:t>
                      </w:r>
                      <w:r w:rsidR="001C5571">
                        <w:rPr>
                          <w:rFonts w:cstheme="minorHAnsi"/>
                        </w:rPr>
                        <w:t xml:space="preserve"> </w:t>
                      </w:r>
                      <w:r w:rsidR="00176AFE" w:rsidRPr="00173BF0">
                        <w:rPr>
                          <w:rFonts w:cstheme="minorHAnsi"/>
                        </w:rPr>
                        <w:t xml:space="preserve">du nombre de consultations </w:t>
                      </w:r>
                      <w:r w:rsidR="001C5571">
                        <w:rPr>
                          <w:rFonts w:cstheme="minorHAnsi"/>
                        </w:rPr>
                        <w:t xml:space="preserve">tant pour </w:t>
                      </w:r>
                      <w:r w:rsidR="00176AFE" w:rsidRPr="00173BF0">
                        <w:rPr>
                          <w:rFonts w:cstheme="minorHAnsi"/>
                        </w:rPr>
                        <w:t xml:space="preserve">symptômes ILI </w:t>
                      </w:r>
                      <w:r w:rsidR="001C5571">
                        <w:rPr>
                          <w:rFonts w:cstheme="minorHAnsi"/>
                        </w:rPr>
                        <w:t>que</w:t>
                      </w:r>
                      <w:r w:rsidR="001C5571" w:rsidRPr="00173BF0">
                        <w:rPr>
                          <w:rFonts w:cstheme="minorHAnsi"/>
                        </w:rPr>
                        <w:t xml:space="preserve"> </w:t>
                      </w:r>
                      <w:r w:rsidR="00176AFE" w:rsidRPr="00173BF0">
                        <w:rPr>
                          <w:rFonts w:cstheme="minorHAnsi"/>
                        </w:rPr>
                        <w:t xml:space="preserve">pour </w:t>
                      </w:r>
                      <w:r w:rsidR="001C5571">
                        <w:rPr>
                          <w:rFonts w:cstheme="minorHAnsi"/>
                        </w:rPr>
                        <w:t xml:space="preserve">suspicion de </w:t>
                      </w:r>
                      <w:r w:rsidR="00176AFE" w:rsidRPr="00173BF0">
                        <w:rPr>
                          <w:rFonts w:cstheme="minorHAnsi"/>
                        </w:rPr>
                        <w:t>COVID-19</w:t>
                      </w:r>
                      <w:r w:rsidR="00173BF0" w:rsidRPr="00173BF0">
                        <w:rPr>
                          <w:rFonts w:cstheme="minorHAnsi"/>
                        </w:rPr>
                        <w:t>.</w:t>
                      </w:r>
                    </w:p>
                    <w:p w14:paraId="2922F248" w14:textId="53523C78" w:rsidR="005952CF" w:rsidRPr="00467E25" w:rsidRDefault="001C5571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 réseau des hôpitaux sentinelles a montré une augmentation du</w:t>
                      </w:r>
                      <w:r w:rsidR="00173BF0" w:rsidRPr="00173BF0">
                        <w:rPr>
                          <w:rFonts w:cstheme="minorHAnsi"/>
                        </w:rPr>
                        <w:t xml:space="preserve"> nombre d’hospitalisations pour infections respiratoire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="00173BF0" w:rsidRPr="00173BF0">
                        <w:rPr>
                          <w:rFonts w:cstheme="minorHAnsi"/>
                        </w:rPr>
                        <w:t xml:space="preserve"> aigüe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="00173BF0" w:rsidRPr="00173BF0">
                        <w:rPr>
                          <w:rFonts w:cstheme="minorHAnsi"/>
                        </w:rPr>
                        <w:t xml:space="preserve"> sévère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="00173BF0" w:rsidRPr="00173BF0">
                        <w:rPr>
                          <w:rFonts w:cstheme="minorHAnsi"/>
                        </w:rPr>
                        <w:t xml:space="preserve"> (SARI) </w:t>
                      </w:r>
                      <w:r>
                        <w:rPr>
                          <w:rFonts w:cstheme="minorHAnsi"/>
                        </w:rPr>
                        <w:t xml:space="preserve">les dernières semaines, </w:t>
                      </w:r>
                      <w:r w:rsidRPr="00467E25">
                        <w:rPr>
                          <w:rFonts w:cstheme="minorHAnsi"/>
                        </w:rPr>
                        <w:t xml:space="preserve">mais il </w:t>
                      </w:r>
                      <w:r w:rsidR="002007E4" w:rsidRPr="00467E25">
                        <w:rPr>
                          <w:rFonts w:cstheme="minorHAnsi"/>
                        </w:rPr>
                        <w:t>semble</w:t>
                      </w:r>
                      <w:r w:rsidRPr="00467E25">
                        <w:rPr>
                          <w:rFonts w:cstheme="minorHAnsi"/>
                        </w:rPr>
                        <w:t xml:space="preserve"> à présent en diminution</w:t>
                      </w:r>
                      <w:r w:rsidR="002007E4" w:rsidRPr="00467E25">
                        <w:rPr>
                          <w:rFonts w:cstheme="minorHAnsi"/>
                        </w:rPr>
                        <w:t xml:space="preserve"> (données non consolidées)</w:t>
                      </w:r>
                      <w:r w:rsidR="00173BF0" w:rsidRPr="00467E25">
                        <w:rPr>
                          <w:rFonts w:cstheme="minorHAnsi"/>
                        </w:rPr>
                        <w:t>.</w:t>
                      </w:r>
                    </w:p>
                    <w:p w14:paraId="3792C4C7" w14:textId="6FE1AA06" w:rsidR="001C5571" w:rsidRPr="00173BF0" w:rsidRDefault="001C5571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La concentration de SARS-CoV-2 détectée dans les eaux usées reste stable mais à un niveau élevé, en particulier en Wallonie.</w:t>
                      </w:r>
                    </w:p>
                    <w:p w14:paraId="3254C63E" w14:textId="0484FD67" w:rsidR="00176AFE" w:rsidRDefault="00176AFE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La surveillance moléculaire</w:t>
                      </w:r>
                      <w:r w:rsidR="00173BF0">
                        <w:rPr>
                          <w:rFonts w:cstheme="minorHAnsi"/>
                        </w:rPr>
                        <w:t xml:space="preserve"> indique que le variant EG.5 </w:t>
                      </w:r>
                      <w:r w:rsidR="001C5571">
                        <w:rPr>
                          <w:rFonts w:cstheme="minorHAnsi"/>
                        </w:rPr>
                        <w:t>est toujours le variant dominant</w:t>
                      </w:r>
                      <w:r w:rsidR="00173BF0">
                        <w:rPr>
                          <w:rFonts w:cstheme="minorHAnsi"/>
                        </w:rPr>
                        <w:t>.</w:t>
                      </w:r>
                    </w:p>
                    <w:p w14:paraId="4DA6F930" w14:textId="14E6AC27" w:rsidR="002E631A" w:rsidRPr="00467E25" w:rsidRDefault="001C5571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La campagne de v</w:t>
                      </w:r>
                      <w:r w:rsidR="002E631A">
                        <w:rPr>
                          <w:rFonts w:cstheme="minorHAnsi"/>
                        </w:rPr>
                        <w:t>accination</w:t>
                      </w:r>
                      <w:r>
                        <w:rPr>
                          <w:rFonts w:cstheme="minorHAnsi"/>
                        </w:rPr>
                        <w:t xml:space="preserve"> se poursuit ; 25,6 % des personnes âgées de 65 à 84 ans ayant reçu une dose de vaccin </w:t>
                      </w:r>
                      <w:r w:rsidRPr="00467E25">
                        <w:rPr>
                          <w:rFonts w:cstheme="minorHAnsi"/>
                        </w:rPr>
                        <w:t>dans les six derniers mois, et 30,4 % des personnes âgées de 85 ans et plus.</w:t>
                      </w:r>
                    </w:p>
                    <w:p w14:paraId="11B37053" w14:textId="20315F84" w:rsidR="007B3DD1" w:rsidRPr="00467E25" w:rsidRDefault="007B3DD1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467E25">
                        <w:rPr>
                          <w:rFonts w:cstheme="minorHAnsi"/>
                        </w:rPr>
                        <w:t>La situation en Belgique est comparable à celle de nos pays voisins. L’ECDC rapporte une augmentation des cas d’infections respiratoires en partie liée à une circulation accrue du SARS-CoV-2</w:t>
                      </w:r>
                      <w:r w:rsidR="00ED148A" w:rsidRPr="00467E25">
                        <w:rPr>
                          <w:rFonts w:cstheme="minorHAnsi"/>
                        </w:rPr>
                        <w:t>, mais sans impact majeur au niveau clinique, l</w:t>
                      </w:r>
                      <w:r w:rsidRPr="00467E25">
                        <w:rPr>
                          <w:rFonts w:cstheme="minorHAnsi"/>
                        </w:rPr>
                        <w:t>es hospitalisations et admissions aux soins intensifs rest</w:t>
                      </w:r>
                      <w:r w:rsidR="00ED148A" w:rsidRPr="00467E25">
                        <w:rPr>
                          <w:rFonts w:cstheme="minorHAnsi"/>
                        </w:rPr>
                        <w:t>a</w:t>
                      </w:r>
                      <w:r w:rsidRPr="00467E25">
                        <w:rPr>
                          <w:rFonts w:cstheme="minorHAnsi"/>
                        </w:rPr>
                        <w:t>nt limitées.</w:t>
                      </w:r>
                    </w:p>
                    <w:p w14:paraId="7CCA1115" w14:textId="25FF6543" w:rsidR="002007E4" w:rsidRPr="00A7182A" w:rsidRDefault="002007E4" w:rsidP="00C80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A7182A">
                        <w:rPr>
                          <w:rFonts w:cstheme="minorHAnsi"/>
                        </w:rPr>
                        <w:t>Le RAG insiste sur l’importance de maintenir les mesures de base : rester chez soi en cas de symptômes</w:t>
                      </w:r>
                      <w:r w:rsidR="00BC3E46" w:rsidRPr="00A7182A">
                        <w:rPr>
                          <w:rFonts w:cstheme="minorHAnsi"/>
                        </w:rPr>
                        <w:t>, ventil</w:t>
                      </w:r>
                      <w:r w:rsidR="00A7182A" w:rsidRPr="00A7182A">
                        <w:rPr>
                          <w:rFonts w:cstheme="minorHAnsi"/>
                        </w:rPr>
                        <w:t>er</w:t>
                      </w:r>
                      <w:r w:rsidR="00BC3E46" w:rsidRPr="00A7182A">
                        <w:rPr>
                          <w:rFonts w:cstheme="minorHAnsi"/>
                        </w:rPr>
                        <w:t xml:space="preserve"> </w:t>
                      </w:r>
                      <w:r w:rsidR="00A7182A" w:rsidRPr="00A7182A">
                        <w:rPr>
                          <w:rFonts w:cstheme="minorHAnsi"/>
                        </w:rPr>
                        <w:t>l</w:t>
                      </w:r>
                      <w:r w:rsidR="00BC3E46" w:rsidRPr="00A7182A">
                        <w:rPr>
                          <w:rFonts w:cstheme="minorHAnsi"/>
                        </w:rPr>
                        <w:t>es espaces intérieurs,</w:t>
                      </w:r>
                      <w:r w:rsidRPr="00A7182A">
                        <w:rPr>
                          <w:rFonts w:cstheme="minorHAnsi"/>
                        </w:rPr>
                        <w:t xml:space="preserve"> port du masque en cas de symptômes</w:t>
                      </w:r>
                      <w:r w:rsidR="00F2332E" w:rsidRPr="00A7182A">
                        <w:rPr>
                          <w:rFonts w:cstheme="minorHAnsi"/>
                        </w:rPr>
                        <w:t>,</w:t>
                      </w:r>
                      <w:r w:rsidRPr="00A7182A">
                        <w:rPr>
                          <w:rFonts w:cstheme="minorHAnsi"/>
                        </w:rPr>
                        <w:t xml:space="preserve"> lors de visites chez le médecin généraliste</w:t>
                      </w:r>
                      <w:r w:rsidR="00F2332E" w:rsidRPr="00A7182A">
                        <w:rPr>
                          <w:rFonts w:cstheme="minorHAnsi"/>
                        </w:rPr>
                        <w:t xml:space="preserve"> ou en cas de contact avec des personnes vulnérables.</w:t>
                      </w:r>
                      <w:r w:rsidR="00BC3E46" w:rsidRPr="00A7182A">
                        <w:rPr>
                          <w:rFonts w:cstheme="minorHAnsi"/>
                        </w:rPr>
                        <w:t xml:space="preserve"> Le RAG souligne également l'importance de la vaccination contre les pathogènes respiratoires, comme le recommandent les avis du HGR/CSS (grippe, COVID-19, RS</w:t>
                      </w:r>
                      <w:r w:rsidR="00A7182A" w:rsidRPr="00A7182A">
                        <w:rPr>
                          <w:rFonts w:cstheme="minorHAnsi"/>
                        </w:rPr>
                        <w:t>V</w:t>
                      </w:r>
                      <w:r w:rsidR="00BC3E46" w:rsidRPr="00A7182A">
                        <w:rPr>
                          <w:rFonts w:cstheme="minorHAnsi"/>
                        </w:rPr>
                        <w:t xml:space="preserve"> et pneumocoques) afin de protéger au mieux la population sensible au cours de cette saison respiratoire.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8282D7" w14:textId="0CB2DBEF" w:rsidR="00DB6864" w:rsidRDefault="00DB6864" w:rsidP="00316441">
      <w:pPr>
        <w:pStyle w:val="BodySciensano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p w14:paraId="102C04B7" w14:textId="2959DD9C" w:rsidR="00DB6864" w:rsidRDefault="00DB6864" w:rsidP="00316441">
      <w:pPr>
        <w:pStyle w:val="BodySciensano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p w14:paraId="3829224B" w14:textId="77777777" w:rsidR="00813B66" w:rsidRDefault="00813B66" w:rsidP="00316441">
      <w:pPr>
        <w:pStyle w:val="BodySciensano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p w14:paraId="582D86DB" w14:textId="77777777" w:rsidR="00813B66" w:rsidRDefault="00813B66" w:rsidP="00316441">
      <w:pPr>
        <w:pStyle w:val="BodySciensano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p w14:paraId="24D1B690" w14:textId="77777777" w:rsidR="00813B66" w:rsidRDefault="00813B66">
      <w:pPr>
        <w:rPr>
          <w:rFonts w:eastAsia="Times New Roman" w:cstheme="minorHAnsi"/>
          <w:b/>
          <w:i/>
          <w:color w:val="00B050"/>
          <w:lang w:eastAsia="fr-BE"/>
        </w:rPr>
      </w:pPr>
      <w:r>
        <w:rPr>
          <w:rFonts w:cstheme="minorHAnsi"/>
          <w:b/>
          <w:i/>
          <w:color w:val="00B050"/>
        </w:rPr>
        <w:br w:type="page"/>
      </w:r>
    </w:p>
    <w:p w14:paraId="69B378DE" w14:textId="25D7730D" w:rsidR="00316441" w:rsidRDefault="004805EB" w:rsidP="00316441">
      <w:pPr>
        <w:pStyle w:val="BodySciensano"/>
        <w:spacing w:before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B050"/>
          <w:sz w:val="22"/>
          <w:szCs w:val="22"/>
        </w:rPr>
        <w:lastRenderedPageBreak/>
        <w:t>Respi-radar</w:t>
      </w:r>
      <w:r w:rsidR="00496A21">
        <w:rPr>
          <w:rStyle w:val="FootnoteReference"/>
          <w:rFonts w:asciiTheme="minorHAnsi" w:hAnsiTheme="minorHAnsi" w:cstheme="minorHAnsi"/>
          <w:b/>
          <w:i/>
          <w:color w:val="00B050"/>
          <w:sz w:val="22"/>
          <w:szCs w:val="22"/>
        </w:rPr>
        <w:footnoteReference w:id="1"/>
      </w:r>
    </w:p>
    <w:tbl>
      <w:tblPr>
        <w:tblW w:w="5681" w:type="pct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26"/>
        <w:gridCol w:w="2225"/>
        <w:gridCol w:w="2225"/>
        <w:gridCol w:w="2225"/>
        <w:gridCol w:w="2225"/>
        <w:gridCol w:w="2225"/>
        <w:gridCol w:w="32"/>
      </w:tblGrid>
      <w:tr w:rsidR="004805EB" w:rsidRPr="008B787C" w14:paraId="5A88BC89" w14:textId="77777777" w:rsidTr="00CA1A3E">
        <w:trPr>
          <w:gridAfter w:val="1"/>
          <w:wAfter w:w="11" w:type="pct"/>
          <w:trHeight w:val="46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1CB" w14:textId="77777777" w:rsidR="004805EB" w:rsidRPr="00E966CF" w:rsidRDefault="004805EB" w:rsidP="00CA1A3E">
            <w:pPr>
              <w:jc w:val="center"/>
              <w:rPr>
                <w:rFonts w:cstheme="minorHAnsi"/>
                <w:sz w:val="18"/>
                <w:szCs w:val="18"/>
                <w:lang w:val="nl-BE"/>
              </w:rPr>
            </w:pPr>
            <w:bookmarkStart w:id="0" w:name="_Hlk144296034"/>
            <w:r>
              <w:rPr>
                <w:rFonts w:cstheme="minorHAnsi"/>
                <w:sz w:val="18"/>
                <w:szCs w:val="18"/>
              </w:rPr>
              <w:t>Semaine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C98" w14:textId="27C52AC9" w:rsidR="004805EB" w:rsidRPr="00E966CF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87C">
              <w:rPr>
                <w:rFonts w:cstheme="minorHAnsi"/>
                <w:sz w:val="18"/>
                <w:szCs w:val="18"/>
              </w:rPr>
              <w:t>Consultations de médecins généralistes pour des symptômes grippaux</w:t>
            </w:r>
            <w:r w:rsidR="00496A21">
              <w:rPr>
                <w:rStyle w:val="FootnoteReference"/>
                <w:rFonts w:cstheme="minorHAnsi"/>
                <w:sz w:val="18"/>
                <w:szCs w:val="18"/>
              </w:rPr>
              <w:footnoteReference w:id="2"/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082" w14:textId="3E984CDA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87C">
              <w:rPr>
                <w:rFonts w:cstheme="minorHAnsi"/>
                <w:sz w:val="18"/>
                <w:szCs w:val="18"/>
              </w:rPr>
              <w:t>Consultations de médecins généralistes pour d'autres infections respiratoires aiguës</w:t>
            </w:r>
            <w:r w:rsidR="00496A21" w:rsidRPr="00496A2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B65" w14:textId="0658FDD0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8B787C">
              <w:rPr>
                <w:rFonts w:cstheme="minorHAnsi"/>
                <w:sz w:val="18"/>
                <w:szCs w:val="18"/>
              </w:rPr>
              <w:t xml:space="preserve">ymptômes grippaux dans les maisons de </w:t>
            </w:r>
            <w:r w:rsidRPr="00B2396B">
              <w:rPr>
                <w:rFonts w:cstheme="minorHAnsi"/>
                <w:sz w:val="18"/>
                <w:szCs w:val="18"/>
              </w:rPr>
              <w:t>repos (et de soins)</w:t>
            </w:r>
            <w:r w:rsidR="00496A21">
              <w:rPr>
                <w:rStyle w:val="FootnoteReference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84F" w14:textId="4F389B1A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B787C">
              <w:rPr>
                <w:rFonts w:cstheme="minorHAnsi"/>
                <w:sz w:val="18"/>
                <w:szCs w:val="18"/>
              </w:rPr>
              <w:t xml:space="preserve">dmissions à l'hôpital pour des infections </w:t>
            </w:r>
            <w:r>
              <w:rPr>
                <w:rFonts w:cstheme="minorHAnsi"/>
                <w:sz w:val="18"/>
                <w:szCs w:val="18"/>
              </w:rPr>
              <w:t>SARI</w:t>
            </w:r>
            <w:r w:rsidR="00496A21">
              <w:rPr>
                <w:rStyle w:val="FootnoteReference"/>
                <w:rFonts w:cstheme="minorHAnsi"/>
                <w:sz w:val="18"/>
                <w:szCs w:val="18"/>
              </w:rPr>
              <w:footnoteReference w:id="4"/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7A4" w14:textId="04BA96D1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B787C">
              <w:rPr>
                <w:rFonts w:cstheme="minorHAnsi"/>
                <w:sz w:val="18"/>
                <w:szCs w:val="18"/>
              </w:rPr>
              <w:t xml:space="preserve">dmissions à l'hôpital pour des infections </w:t>
            </w:r>
            <w:r>
              <w:rPr>
                <w:rFonts w:cstheme="minorHAnsi"/>
                <w:sz w:val="18"/>
                <w:szCs w:val="18"/>
              </w:rPr>
              <w:t>SARI</w:t>
            </w:r>
            <w:r w:rsidRPr="008B787C">
              <w:rPr>
                <w:rFonts w:cstheme="minorHAnsi"/>
                <w:sz w:val="18"/>
                <w:szCs w:val="18"/>
              </w:rPr>
              <w:t xml:space="preserve"> avec complications graves</w:t>
            </w:r>
            <w:r w:rsidR="00496A21" w:rsidRPr="00496A21">
              <w:rPr>
                <w:rFonts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95B" w14:textId="1D1DF5DA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87C">
              <w:rPr>
                <w:rFonts w:cstheme="minorHAnsi"/>
                <w:sz w:val="18"/>
                <w:szCs w:val="18"/>
              </w:rPr>
              <w:t xml:space="preserve">Concentration de SARS-CoV-2 dans </w:t>
            </w:r>
            <w:r>
              <w:rPr>
                <w:rFonts w:cstheme="minorHAnsi"/>
                <w:sz w:val="18"/>
                <w:szCs w:val="18"/>
              </w:rPr>
              <w:t>les eaux</w:t>
            </w:r>
            <w:r w:rsidRPr="008B787C">
              <w:rPr>
                <w:rFonts w:cstheme="minorHAnsi"/>
                <w:sz w:val="18"/>
                <w:szCs w:val="18"/>
              </w:rPr>
              <w:t xml:space="preserve"> usée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8B787C">
              <w:rPr>
                <w:rFonts w:cstheme="minorHAnsi"/>
                <w:sz w:val="18"/>
                <w:szCs w:val="18"/>
              </w:rPr>
              <w:t xml:space="preserve"> </w:t>
            </w:r>
            <w:r w:rsidR="00496A21">
              <w:rPr>
                <w:rStyle w:val="FootnoteReference"/>
                <w:rFonts w:cstheme="minorHAnsi"/>
                <w:sz w:val="18"/>
                <w:szCs w:val="18"/>
              </w:rPr>
              <w:footnoteReference w:id="5"/>
            </w:r>
          </w:p>
        </w:tc>
      </w:tr>
      <w:tr w:rsidR="004805EB" w:rsidRPr="008B787C" w14:paraId="5374637D" w14:textId="77777777" w:rsidTr="00496A21">
        <w:trPr>
          <w:trHeight w:val="496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3F0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4CE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4BC7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C11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305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09F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A61" w14:textId="77777777" w:rsidR="004805EB" w:rsidRPr="008B787C" w:rsidRDefault="004805EB" w:rsidP="00CA1A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42E" w14:textId="77777777" w:rsidR="004805EB" w:rsidRPr="008B787C" w:rsidRDefault="004805EB" w:rsidP="00CA1A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079AFC47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4BDE" w14:textId="63A290FA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286D5420" w14:textId="6EA0AF6B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05410640" w14:textId="25768B97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A9988B0" w14:textId="4FD5F31A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F1D8DB2" w14:textId="5DDBFEB7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BD1C3A1" w14:textId="5BC79D40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4AA26D" w14:textId="13E89A3C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14:paraId="0F45E626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2CFA8F40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D34F" w14:textId="5D71BE8C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FD35B49" w14:textId="6FA7D706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A61D456" w14:textId="14F0FD0A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61BD8C3" w14:textId="7C2825D9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5576B82" w14:textId="2B40DF08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5C43CAF" w14:textId="72B910A4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458D2FA" w14:textId="40C06282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14:paraId="2EA28CA6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45426AC4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6703" w14:textId="2F8FE3AE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44BAB2FC" w14:textId="3E1E4481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49713FAB" w14:textId="2A36EED8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8A45FF6" w14:textId="1875901D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0215DD" w14:textId="7126727D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C0DB3A5" w14:textId="6B0309F6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4B1C497" w14:textId="6EA21993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14:paraId="12CFB43E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5FB97614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BC8B" w14:textId="5BBC1C4E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D7BE415" w14:textId="5A96B892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4E9CD53" w14:textId="6333A9E1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876BEDF" w14:textId="50090BB5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85430E" w14:textId="0612F8F9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96A6C52" w14:textId="20E6103F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52CA3F8F" w14:textId="350A05AC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14:paraId="33F52C83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4EC9F203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CAF5" w14:textId="5C886795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6BBE1635" w14:textId="77FA9FA2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7666DD19" w14:textId="64CB0841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33CED02" w14:textId="5C088FEF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35D5958" w14:textId="4F86BA5C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F3942DD" w14:textId="7EA842E5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2C6CD1B" w14:textId="181B457A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14:paraId="4FB7872F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537CEC6D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320F" w14:textId="69451D94" w:rsidR="008614ED" w:rsidRPr="008614ED" w:rsidRDefault="008614ED" w:rsidP="008614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9CB4289" w14:textId="1B8CA2D1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5C480D9" w14:textId="7D4EDC8D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E8FE111" w14:textId="55700901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0BA3A06" w14:textId="461647E6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3509A6D" w14:textId="5FD128E8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40FB73" w14:textId="761B2AC3" w:rsidR="008614ED" w:rsidRPr="008614ED" w:rsidRDefault="008614ED" w:rsidP="008614ED">
            <w:pPr>
              <w:jc w:val="center"/>
              <w:rPr>
                <w:rFonts w:eastAsia="Arial" w:cstheme="minorHAnsi"/>
                <w:sz w:val="20"/>
                <w:szCs w:val="20"/>
                <w:lang w:val="en-GB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14:paraId="45FB446D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647E7371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D517" w14:textId="0B447CEB" w:rsidR="008614ED" w:rsidRPr="008614ED" w:rsidRDefault="008614ED" w:rsidP="008614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083F8C01" w14:textId="5D79036F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92D050"/>
            <w:noWrap/>
            <w:vAlign w:val="bottom"/>
          </w:tcPr>
          <w:p w14:paraId="08EAC222" w14:textId="06859EC8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1263592" w14:textId="4F290FE2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E1E3C1" w14:textId="755337E6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1EB220D" w14:textId="14947ADA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4863CBD" w14:textId="1F39C042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14:paraId="0CD50DC8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496549D6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2A5F" w14:textId="05916D43" w:rsidR="008614ED" w:rsidRPr="008614ED" w:rsidRDefault="008614ED" w:rsidP="008614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B5F62D7" w14:textId="3719492E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55FB443" w14:textId="60193922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3934662" w14:textId="42B1BBDF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3FFE17D" w14:textId="378130C8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A7A419D" w14:textId="7239292B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F340FA2" w14:textId="15ED3F86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14:paraId="1B488D66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4ED" w:rsidRPr="00E966CF" w14:paraId="79D2DCD4" w14:textId="77777777" w:rsidTr="007220F5">
        <w:trPr>
          <w:trHeight w:val="29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B0D5" w14:textId="49AAB68B" w:rsidR="008614ED" w:rsidRPr="008614ED" w:rsidRDefault="008614ED" w:rsidP="008614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2023w41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61B8C76" w14:textId="3529DB8C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9E83D5E" w14:textId="21D856AA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D872953" w14:textId="03817235" w:rsidR="008614ED" w:rsidRPr="008614ED" w:rsidRDefault="008614ED" w:rsidP="008614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4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5491764" w14:textId="18070272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01320AF" w14:textId="5FF582D0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8D9ACBE" w14:textId="68A856A1" w:rsidR="008614ED" w:rsidRPr="008614ED" w:rsidRDefault="008614ED" w:rsidP="008614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14E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14:paraId="01C4E6B2" w14:textId="77777777" w:rsidR="008614ED" w:rsidRPr="00E966CF" w:rsidRDefault="008614ED" w:rsidP="008614ED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07AACFC2" w14:textId="2B5F9DAE" w:rsidR="00EE5916" w:rsidRDefault="00EE5916" w:rsidP="008614ED">
      <w:pPr>
        <w:pStyle w:val="BodySciensano"/>
        <w:spacing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tbl>
      <w:tblPr>
        <w:tblW w:w="557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225"/>
        <w:gridCol w:w="2226"/>
        <w:gridCol w:w="2226"/>
        <w:gridCol w:w="2226"/>
        <w:gridCol w:w="2226"/>
        <w:gridCol w:w="2226"/>
        <w:gridCol w:w="26"/>
      </w:tblGrid>
      <w:tr w:rsidR="004805EB" w:rsidRPr="00894031" w14:paraId="46E62F28" w14:textId="77777777" w:rsidTr="008614ED">
        <w:trPr>
          <w:gridAfter w:val="1"/>
          <w:wAfter w:w="9" w:type="pct"/>
          <w:trHeight w:val="464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066" w14:textId="77777777" w:rsidR="004805EB" w:rsidRPr="00894031" w:rsidRDefault="004805EB" w:rsidP="00CA1A3E">
            <w:pPr>
              <w:pStyle w:val="BodySciensano"/>
              <w:jc w:val="center"/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Seuil</w:t>
            </w:r>
            <w:proofErr w:type="spellEnd"/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A6E" w14:textId="660FC154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>Consultations de médecins généralis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tes pour des symptômes grippaux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B7A" w14:textId="7D4C684C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Consultations de médecins généralistes pour d'autres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infections respiratoires aiguës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608" w14:textId="707D3EF7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ymptômes grippaux dans les maisons de </w:t>
            </w:r>
            <w:r w:rsidRPr="00B2396B">
              <w:rPr>
                <w:rFonts w:asciiTheme="minorHAnsi" w:hAnsiTheme="minorHAnsi" w:cstheme="minorHAnsi"/>
                <w:sz w:val="18"/>
                <w:szCs w:val="18"/>
              </w:rPr>
              <w:t>repos (et de soins)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B29" w14:textId="73AFEA28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dmissions à l'hôpital pour des infections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SARI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DF6" w14:textId="09B8CB42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dmissions à l'hôpital pour des infections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SARI avec complications grave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695" w14:textId="50CA9C4A" w:rsidR="004805EB" w:rsidRPr="00F5089B" w:rsidRDefault="004805EB" w:rsidP="00CA1A3E">
            <w:pPr>
              <w:pStyle w:val="BodySciensano"/>
              <w:jc w:val="center"/>
              <w:rPr>
                <w:sz w:val="18"/>
                <w:szCs w:val="18"/>
                <w:vertAlign w:val="superscript"/>
              </w:rPr>
            </w:pP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Concentration de SARS-CoV-2 dans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les eaux</w:t>
            </w:r>
            <w:r w:rsidRPr="008B787C">
              <w:rPr>
                <w:rFonts w:asciiTheme="minorHAnsi" w:hAnsiTheme="minorHAnsi" w:cstheme="minorHAnsi"/>
                <w:sz w:val="18"/>
                <w:szCs w:val="18"/>
              </w:rPr>
              <w:t xml:space="preserve"> usée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96A21" w:rsidRPr="00496A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</w:tr>
      <w:tr w:rsidR="004805EB" w:rsidRPr="008B787C" w14:paraId="438E0191" w14:textId="77777777" w:rsidTr="008660AE">
        <w:trPr>
          <w:trHeight w:val="739"/>
          <w:jc w:val="center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0E2" w14:textId="77777777" w:rsidR="004805EB" w:rsidRPr="00894031" w:rsidRDefault="004805EB" w:rsidP="00CA1A3E">
            <w:pPr>
              <w:pStyle w:val="BodySciensan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FF49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4C5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011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898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0921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FED8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5BA" w14:textId="77777777" w:rsidR="004805EB" w:rsidRPr="00894031" w:rsidRDefault="004805EB" w:rsidP="00CA1A3E">
            <w:pPr>
              <w:pStyle w:val="BodySciensano"/>
              <w:rPr>
                <w:sz w:val="18"/>
                <w:szCs w:val="18"/>
              </w:rPr>
            </w:pPr>
          </w:p>
        </w:tc>
      </w:tr>
      <w:tr w:rsidR="008660AE" w:rsidRPr="00894031" w14:paraId="1B9A81D9" w14:textId="77777777" w:rsidTr="008660AE">
        <w:trPr>
          <w:trHeight w:val="29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FF14" w14:textId="77777777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 w:rsidRPr="008B787C">
              <w:rPr>
                <w:sz w:val="18"/>
                <w:szCs w:val="18"/>
              </w:rPr>
              <w:t>jaune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2E8BB" w14:textId="77777777" w:rsidR="008660AE" w:rsidRPr="00CD7F1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CD7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&lt; W40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D7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: 128 – 507</w:t>
            </w:r>
          </w:p>
          <w:p w14:paraId="3AEC6F38" w14:textId="59374166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W40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: 183 - 503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737FBA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1208 - 1293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F7C7E1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7-13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4BBDD41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4,4 – 9,8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23CA47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0,68 - 1,4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13BA18" w14:textId="77777777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 w:rsidRPr="008940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5 –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14:paraId="5DD6FC50" w14:textId="77777777" w:rsidR="008660AE" w:rsidRPr="00894031" w:rsidRDefault="008660AE" w:rsidP="008660AE">
            <w:pPr>
              <w:pStyle w:val="BodySciensano"/>
              <w:rPr>
                <w:sz w:val="18"/>
                <w:szCs w:val="18"/>
                <w:lang w:val="en-GB"/>
              </w:rPr>
            </w:pPr>
          </w:p>
        </w:tc>
      </w:tr>
      <w:tr w:rsidR="008660AE" w:rsidRPr="00894031" w14:paraId="7A9261E7" w14:textId="77777777" w:rsidTr="008660AE">
        <w:trPr>
          <w:trHeight w:val="29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342E" w14:textId="77777777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 w:rsidRPr="008B787C">
              <w:rPr>
                <w:sz w:val="18"/>
                <w:szCs w:val="18"/>
              </w:rPr>
              <w:t>orange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4E4BCF" w14:textId="77777777" w:rsidR="008660AE" w:rsidRDefault="008660AE" w:rsidP="008660AE">
            <w:pPr>
              <w:pStyle w:val="BodySciensano"/>
              <w:jc w:val="center"/>
              <w:rPr>
                <w:rFonts w:cs="Arial"/>
                <w:sz w:val="18"/>
                <w:szCs w:val="18"/>
              </w:rPr>
            </w:pPr>
            <w:r w:rsidRPr="00CD7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&lt; W40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D7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507 – 783</w:t>
            </w:r>
          </w:p>
          <w:p w14:paraId="32029417" w14:textId="11BF41B5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W40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64D4">
              <w:rPr>
                <w:rFonts w:asciiTheme="minorHAnsi" w:hAnsiTheme="minorHAnsi" w:cstheme="minorHAnsi"/>
                <w:sz w:val="18"/>
                <w:szCs w:val="18"/>
              </w:rPr>
              <w:t>503 - 792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7F805DB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1293 - 1984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10571AE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13-20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71938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9,8 - 33,7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BF60AB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1,4 - 3,03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CEC6C8B" w14:textId="690B677E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10 - 14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14:paraId="250CE3F8" w14:textId="77777777" w:rsidR="008660AE" w:rsidRPr="00894031" w:rsidRDefault="008660AE" w:rsidP="008660AE">
            <w:pPr>
              <w:pStyle w:val="BodySciensano"/>
              <w:rPr>
                <w:sz w:val="18"/>
                <w:szCs w:val="18"/>
                <w:lang w:val="en-GB"/>
              </w:rPr>
            </w:pPr>
          </w:p>
        </w:tc>
      </w:tr>
      <w:tr w:rsidR="008660AE" w:rsidRPr="00894031" w14:paraId="6A627CA9" w14:textId="77777777" w:rsidTr="008660AE">
        <w:trPr>
          <w:trHeight w:val="29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DFB1" w14:textId="77777777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 w:rsidRPr="008B787C">
              <w:rPr>
                <w:sz w:val="18"/>
                <w:szCs w:val="18"/>
              </w:rPr>
              <w:t>rouge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476488E" w14:textId="77777777" w:rsidR="008660A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CD7F1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&lt; W40: </w:t>
            </w:r>
            <w:r w:rsidRPr="008940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&gt;783</w:t>
            </w:r>
          </w:p>
          <w:p w14:paraId="3B0C5E0C" w14:textId="48CA2C5A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7F1E">
              <w:rPr>
                <w:rFonts w:asciiTheme="minorHAnsi" w:hAnsiTheme="minorHAnsi" w:cstheme="minorHAnsi"/>
                <w:sz w:val="18"/>
                <w:szCs w:val="18"/>
              </w:rPr>
              <w:t>W40: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64D4">
              <w:rPr>
                <w:rFonts w:asciiTheme="minorHAnsi" w:hAnsiTheme="minorHAnsi" w:cstheme="minorHAnsi"/>
                <w:sz w:val="18"/>
                <w:szCs w:val="18"/>
              </w:rPr>
              <w:t>&gt;792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480B68B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&gt;1984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8E7D793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&gt;20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145FD84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&gt;33,7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51B85FF" w14:textId="77777777" w:rsidR="008660AE" w:rsidRPr="003A64DE" w:rsidRDefault="008660AE" w:rsidP="008660AE">
            <w:pPr>
              <w:pStyle w:val="BodySciensan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64DE">
              <w:rPr>
                <w:rFonts w:asciiTheme="minorHAnsi" w:hAnsiTheme="minorHAnsi" w:cstheme="minorHAnsi"/>
                <w:sz w:val="18"/>
                <w:szCs w:val="18"/>
              </w:rPr>
              <w:t>&gt; 3,03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BF067B1" w14:textId="77777777" w:rsidR="008660AE" w:rsidRPr="00894031" w:rsidRDefault="008660AE" w:rsidP="008660AE">
            <w:pPr>
              <w:pStyle w:val="BodySciensano"/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≥ 15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14:paraId="00C6EC43" w14:textId="77777777" w:rsidR="008660AE" w:rsidRPr="00894031" w:rsidRDefault="008660AE" w:rsidP="008660AE">
            <w:pPr>
              <w:pStyle w:val="BodySciensano"/>
              <w:rPr>
                <w:sz w:val="18"/>
                <w:szCs w:val="18"/>
                <w:lang w:val="en-GB"/>
              </w:rPr>
            </w:pPr>
          </w:p>
        </w:tc>
      </w:tr>
    </w:tbl>
    <w:p w14:paraId="114C2B06" w14:textId="1D6A86DB" w:rsidR="003740CA" w:rsidRDefault="0001574B" w:rsidP="003740CA">
      <w:pPr>
        <w:pStyle w:val="BodySciensano"/>
        <w:spacing w:before="240" w:after="240"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B050"/>
          <w:sz w:val="22"/>
          <w:szCs w:val="22"/>
        </w:rPr>
        <w:lastRenderedPageBreak/>
        <w:t>Surveillance spécifique COVID-19</w:t>
      </w:r>
    </w:p>
    <w:tbl>
      <w:tblPr>
        <w:tblStyle w:val="GridTable4-Accent6"/>
        <w:tblW w:w="143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134"/>
        <w:gridCol w:w="3260"/>
        <w:gridCol w:w="4394"/>
      </w:tblGrid>
      <w:tr w:rsidR="00497F7A" w:rsidRPr="006E22E0" w14:paraId="3DCC6C65" w14:textId="77777777" w:rsidTr="00B26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F63AEE" w14:textId="36CA1782" w:rsidR="00497F7A" w:rsidRPr="006E22E0" w:rsidRDefault="00497F7A" w:rsidP="00497F7A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i/>
                <w:color w:val="00B050"/>
                <w:sz w:val="22"/>
                <w:szCs w:val="22"/>
              </w:rPr>
            </w:pPr>
            <w:r w:rsidRPr="006E22E0">
              <w:rPr>
                <w:rFonts w:asciiTheme="minorHAnsi" w:hAnsiTheme="minorHAnsi" w:cstheme="minorHAnsi"/>
                <w:sz w:val="22"/>
                <w:szCs w:val="22"/>
              </w:rPr>
              <w:t xml:space="preserve">Indicateurs </w:t>
            </w:r>
          </w:p>
        </w:tc>
        <w:tc>
          <w:tcPr>
            <w:tcW w:w="1559" w:type="dxa"/>
          </w:tcPr>
          <w:p w14:paraId="4D3F8E35" w14:textId="288778F5" w:rsidR="00497F7A" w:rsidRPr="00D27A3D" w:rsidRDefault="00AE013B">
            <w:pPr>
              <w:pStyle w:val="Comment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952F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8042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/23 (</w:t>
            </w:r>
            <w:proofErr w:type="spellStart"/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4E1FA38F" w14:textId="297D259E" w:rsidR="00497F7A" w:rsidRDefault="00AE013B">
            <w:pPr>
              <w:pStyle w:val="Comment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52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97F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/23 (</w:t>
            </w:r>
            <w:proofErr w:type="spellStart"/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497F7A" w:rsidRPr="00C812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D76BC25" w14:textId="3C0ED1C7" w:rsidR="00497F7A" w:rsidRPr="006E22E0" w:rsidRDefault="00497F7A" w:rsidP="00497F7A">
            <w:pPr>
              <w:pStyle w:val="Comment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color w:val="00B050"/>
                <w:sz w:val="22"/>
                <w:szCs w:val="22"/>
              </w:rPr>
            </w:pPr>
            <w:r w:rsidRPr="006E22E0">
              <w:rPr>
                <w:rFonts w:asciiTheme="minorHAnsi" w:hAnsiTheme="minorHAnsi" w:cstheme="minorHAnsi"/>
                <w:sz w:val="22"/>
                <w:szCs w:val="22"/>
              </w:rPr>
              <w:t>Evolution (%)</w:t>
            </w:r>
          </w:p>
        </w:tc>
        <w:tc>
          <w:tcPr>
            <w:tcW w:w="3260" w:type="dxa"/>
          </w:tcPr>
          <w:p w14:paraId="1F1C7D35" w14:textId="1F929BAF" w:rsidR="00497F7A" w:rsidRPr="00AF7613" w:rsidRDefault="00497F7A" w:rsidP="00497F7A">
            <w:pPr>
              <w:pStyle w:val="CommentText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color w:val="00B050"/>
                <w:sz w:val="22"/>
                <w:szCs w:val="22"/>
              </w:rPr>
            </w:pPr>
            <w:r w:rsidRPr="00AF7613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</w:p>
        </w:tc>
        <w:tc>
          <w:tcPr>
            <w:tcW w:w="4394" w:type="dxa"/>
          </w:tcPr>
          <w:p w14:paraId="22FC22B6" w14:textId="566B3AA0" w:rsidR="00497F7A" w:rsidRPr="006E22E0" w:rsidRDefault="00497F7A" w:rsidP="00497F7A">
            <w:pPr>
              <w:pStyle w:val="CommentText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color w:val="00B050"/>
                <w:sz w:val="22"/>
                <w:szCs w:val="22"/>
              </w:rPr>
            </w:pPr>
            <w:r w:rsidRPr="006E22E0">
              <w:rPr>
                <w:rFonts w:asciiTheme="minorHAnsi" w:hAnsiTheme="minorHAnsi" w:cstheme="minorHAnsi"/>
                <w:sz w:val="22"/>
                <w:szCs w:val="22"/>
              </w:rPr>
              <w:t>Informations supplémentaires</w:t>
            </w:r>
          </w:p>
        </w:tc>
      </w:tr>
      <w:tr w:rsidR="00497F7A" w:rsidRPr="006E22E0" w14:paraId="07505A35" w14:textId="77777777" w:rsidTr="00B2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673515" w14:textId="0EB40A39" w:rsidR="00497F7A" w:rsidRPr="006E22E0" w:rsidRDefault="00497F7A" w:rsidP="00497F7A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i/>
                <w:color w:val="00B050"/>
                <w:sz w:val="22"/>
                <w:szCs w:val="22"/>
              </w:rPr>
            </w:pPr>
            <w:r w:rsidRPr="006E22E0">
              <w:rPr>
                <w:rFonts w:asciiTheme="minorHAnsi" w:hAnsiTheme="minorHAnsi" w:cstheme="minorHAnsi"/>
                <w:sz w:val="22"/>
                <w:szCs w:val="22"/>
              </w:rPr>
              <w:t>Nombre de contacts chez les médecins généralistes pour suspicion de COVID-19</w:t>
            </w:r>
          </w:p>
        </w:tc>
        <w:tc>
          <w:tcPr>
            <w:tcW w:w="1559" w:type="dxa"/>
            <w:vAlign w:val="center"/>
          </w:tcPr>
          <w:p w14:paraId="206C5108" w14:textId="24A147E9" w:rsidR="00497F7A" w:rsidRPr="00523669" w:rsidRDefault="000952F9" w:rsidP="00497F7A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</w:rPr>
            </w:pPr>
            <w:r w:rsidRPr="000952F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14:paraId="5EFA5EA9" w14:textId="5EDC2FB3" w:rsidR="00497F7A" w:rsidRDefault="008660AE" w:rsidP="00497F7A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5ABD2CEE" w14:textId="4118DFF6" w:rsidR="00497F7A" w:rsidRPr="00DA6B17" w:rsidRDefault="008660AE" w:rsidP="00497F7A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</w:p>
        </w:tc>
        <w:tc>
          <w:tcPr>
            <w:tcW w:w="3260" w:type="dxa"/>
          </w:tcPr>
          <w:p w14:paraId="26717AE8" w14:textId="6119BF02" w:rsidR="00497F7A" w:rsidRPr="00463A1E" w:rsidRDefault="00497F7A" w:rsidP="00497F7A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63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6A84E4F4" w14:textId="5B6CE6DF" w:rsidR="00497F7A" w:rsidRPr="00AD44B9" w:rsidRDefault="00497F7A" w:rsidP="00497F7A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44B9">
              <w:rPr>
                <w:rFonts w:asciiTheme="minorHAnsi" w:hAnsiTheme="minorHAnsi" w:cstheme="minorHAnsi"/>
                <w:sz w:val="22"/>
                <w:szCs w:val="22"/>
              </w:rPr>
              <w:t>Source: Baromètre des médecins généralistes</w:t>
            </w:r>
          </w:p>
        </w:tc>
      </w:tr>
      <w:tr w:rsidR="0001574B" w:rsidRPr="006E22E0" w14:paraId="23F5300C" w14:textId="77777777" w:rsidTr="00B26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0A15682" w14:textId="3B0CE159" w:rsidR="0001574B" w:rsidRPr="0001574B" w:rsidRDefault="0001574B" w:rsidP="0001574B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4B">
              <w:rPr>
                <w:rFonts w:asciiTheme="minorHAnsi" w:hAnsiTheme="minorHAnsi" w:cstheme="minorHAnsi"/>
                <w:sz w:val="22"/>
                <w:szCs w:val="22"/>
              </w:rPr>
              <w:t>Nombre de nouvelles infections rapportées</w:t>
            </w:r>
          </w:p>
        </w:tc>
        <w:tc>
          <w:tcPr>
            <w:tcW w:w="1559" w:type="dxa"/>
            <w:vAlign w:val="center"/>
          </w:tcPr>
          <w:p w14:paraId="388075FF" w14:textId="4E4B3097" w:rsidR="0001574B" w:rsidRPr="00317A51" w:rsidRDefault="00F2332E" w:rsidP="0001574B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32E32532" w14:textId="7254B7BB" w:rsidR="0001574B" w:rsidRPr="00D9447C" w:rsidRDefault="008660AE" w:rsidP="0001574B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14:paraId="0B5214A6" w14:textId="134086F1" w:rsidR="0001574B" w:rsidRPr="00D9447C" w:rsidRDefault="00070E54" w:rsidP="0001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332E">
              <w:rPr>
                <w:rFonts w:cstheme="minorHAnsi"/>
              </w:rPr>
              <w:t>=</w:t>
            </w:r>
          </w:p>
        </w:tc>
        <w:tc>
          <w:tcPr>
            <w:tcW w:w="3260" w:type="dxa"/>
          </w:tcPr>
          <w:p w14:paraId="66EED442" w14:textId="0B9397D0" w:rsidR="0001574B" w:rsidRPr="00D20F18" w:rsidRDefault="0001574B" w:rsidP="0001574B">
            <w:pPr>
              <w:pStyle w:val="Comment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7351CB67" w14:textId="7723C81D" w:rsidR="0001574B" w:rsidRPr="00DD26D4" w:rsidRDefault="0001574B" w:rsidP="0001574B">
            <w:pPr>
              <w:pStyle w:val="Comment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74B" w:rsidRPr="006E22E0" w14:paraId="4543674C" w14:textId="77777777" w:rsidTr="00B2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040F921" w14:textId="118989D8" w:rsidR="0001574B" w:rsidRPr="0001574B" w:rsidRDefault="0001574B" w:rsidP="0001574B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4B">
              <w:rPr>
                <w:rFonts w:asciiTheme="minorHAnsi" w:hAnsiTheme="minorHAnsi" w:cstheme="minorHAnsi"/>
                <w:sz w:val="22"/>
                <w:szCs w:val="22"/>
              </w:rPr>
              <w:t>Nombre de tests</w:t>
            </w:r>
          </w:p>
        </w:tc>
        <w:tc>
          <w:tcPr>
            <w:tcW w:w="1559" w:type="dxa"/>
            <w:vAlign w:val="center"/>
          </w:tcPr>
          <w:p w14:paraId="27A22661" w14:textId="674B3B2B" w:rsidR="0001574B" w:rsidRPr="00317A51" w:rsidRDefault="000952F9" w:rsidP="0001574B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952F9">
              <w:rPr>
                <w:rFonts w:asciiTheme="minorHAnsi" w:hAnsiTheme="minorHAnsi" w:cstheme="minorHAnsi"/>
                <w:sz w:val="22"/>
                <w:szCs w:val="22"/>
              </w:rPr>
              <w:t>1 9</w:t>
            </w:r>
            <w:r w:rsidR="009E11D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560" w:type="dxa"/>
            <w:vAlign w:val="center"/>
          </w:tcPr>
          <w:p w14:paraId="38831907" w14:textId="4C29CFD0" w:rsidR="0001574B" w:rsidRPr="00317A51" w:rsidRDefault="00563478" w:rsidP="0001574B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9E11DF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14:paraId="3129F3ED" w14:textId="7B164DAE" w:rsidR="0001574B" w:rsidRPr="00317A51" w:rsidRDefault="009E11DF" w:rsidP="0001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3260" w:type="dxa"/>
          </w:tcPr>
          <w:p w14:paraId="317F882A" w14:textId="77777777" w:rsidR="0001574B" w:rsidRPr="0047217F" w:rsidRDefault="0001574B" w:rsidP="0001574B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978E86" w14:textId="32C10289" w:rsidR="0001574B" w:rsidRPr="00DD26D4" w:rsidRDefault="0001574B" w:rsidP="0001574B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</w:p>
        </w:tc>
      </w:tr>
      <w:tr w:rsidR="005952CF" w:rsidRPr="006E22E0" w14:paraId="40FFF006" w14:textId="77777777" w:rsidTr="00B26DB0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7EBB40A" w14:textId="75CEE0E8" w:rsidR="005952CF" w:rsidRPr="0001574B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952CF">
              <w:rPr>
                <w:rFonts w:asciiTheme="minorHAnsi" w:hAnsiTheme="minorHAnsi" w:cstheme="minorHAnsi"/>
                <w:sz w:val="22"/>
                <w:szCs w:val="22"/>
              </w:rPr>
              <w:t xml:space="preserve">Taux de positivité </w:t>
            </w:r>
          </w:p>
        </w:tc>
        <w:tc>
          <w:tcPr>
            <w:tcW w:w="1559" w:type="dxa"/>
            <w:vAlign w:val="center"/>
          </w:tcPr>
          <w:p w14:paraId="2866E184" w14:textId="21AEF45D" w:rsidR="005952CF" w:rsidRPr="00D9447C" w:rsidRDefault="009E11DF" w:rsidP="005952CF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17,2</w:t>
            </w:r>
            <w:r w:rsidR="000952F9" w:rsidRPr="000952F9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14:paraId="0DE63E6D" w14:textId="4FE159D8" w:rsidR="005952CF" w:rsidRPr="00D9447C" w:rsidRDefault="009E11DF" w:rsidP="005952CF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18,8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54F59B49" w14:textId="6CC8B21B" w:rsidR="005952CF" w:rsidRPr="00317A51" w:rsidRDefault="00563478" w:rsidP="00563478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↓</w:t>
            </w:r>
          </w:p>
        </w:tc>
        <w:tc>
          <w:tcPr>
            <w:tcW w:w="3260" w:type="dxa"/>
            <w:vAlign w:val="center"/>
          </w:tcPr>
          <w:p w14:paraId="6D53287E" w14:textId="77777777" w:rsidR="005952CF" w:rsidRPr="00DE70D6" w:rsidRDefault="005952CF" w:rsidP="005952CF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4555F9" w14:textId="77777777" w:rsidR="005952CF" w:rsidRPr="00207692" w:rsidRDefault="005952CF" w:rsidP="005952CF">
            <w:pPr>
              <w:pStyle w:val="Comment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2CF" w:rsidRPr="006E22E0" w14:paraId="1F2EC1D9" w14:textId="77777777" w:rsidTr="00B2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42011C" w14:textId="77777777" w:rsidR="005952CF" w:rsidRPr="005952CF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952CF">
              <w:rPr>
                <w:rFonts w:asciiTheme="minorHAnsi" w:hAnsiTheme="minorHAnsi" w:cstheme="minorHAnsi"/>
                <w:sz w:val="22"/>
                <w:szCs w:val="22"/>
              </w:rPr>
              <w:t>Surveillance des eaux usées</w:t>
            </w:r>
            <w:r w:rsidRPr="00F723D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</w:p>
          <w:p w14:paraId="4C46C9F4" w14:textId="77777777" w:rsidR="000B4D58" w:rsidRDefault="000B4D58" w:rsidP="005952CF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F0C9040" w14:textId="77777777" w:rsidR="000B4D58" w:rsidRDefault="000B4D58" w:rsidP="005952CF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1EF85C1" w14:textId="52BE7147" w:rsidR="005952CF" w:rsidRPr="00F723D6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23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Tendance à la hausse</w:t>
            </w:r>
          </w:p>
          <w:p w14:paraId="7FE556F1" w14:textId="77777777" w:rsidR="005952CF" w:rsidRPr="00F723D6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23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Augmentation rapide</w:t>
            </w:r>
          </w:p>
          <w:p w14:paraId="4A296E5F" w14:textId="2AA47B08" w:rsidR="005952CF" w:rsidRPr="0001574B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23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Haute circulation</w:t>
            </w:r>
          </w:p>
        </w:tc>
        <w:tc>
          <w:tcPr>
            <w:tcW w:w="1559" w:type="dxa"/>
            <w:vAlign w:val="center"/>
          </w:tcPr>
          <w:p w14:paraId="3D336183" w14:textId="2D858C5D" w:rsidR="005952CF" w:rsidRDefault="00AE013B" w:rsidP="000B4D58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  <w:p w14:paraId="0B0AFF09" w14:textId="7766AA31" w:rsidR="00563478" w:rsidRDefault="00AE013B" w:rsidP="00563478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  <w:p w14:paraId="327C14BE" w14:textId="389C14E9" w:rsidR="00F723D6" w:rsidRPr="00D9447C" w:rsidRDefault="00AE013B" w:rsidP="00563478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</w:tc>
        <w:tc>
          <w:tcPr>
            <w:tcW w:w="1560" w:type="dxa"/>
            <w:vAlign w:val="center"/>
          </w:tcPr>
          <w:p w14:paraId="19F13821" w14:textId="77777777" w:rsidR="000B4D58" w:rsidRDefault="000B4D58" w:rsidP="000B4D58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1BE18" w14:textId="56DAF2E7" w:rsidR="00563478" w:rsidRDefault="00AE013B" w:rsidP="000B4D58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  <w:p w14:paraId="56F014FD" w14:textId="28A573F7" w:rsidR="00563478" w:rsidRDefault="00F723D6" w:rsidP="00563478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  <w:p w14:paraId="5B0055CC" w14:textId="6E5EA1B8" w:rsidR="00563478" w:rsidRDefault="00F723D6" w:rsidP="00563478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01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3478">
              <w:rPr>
                <w:rFonts w:asciiTheme="minorHAnsi" w:hAnsiTheme="minorHAnsi" w:cstheme="minorHAnsi"/>
                <w:sz w:val="22"/>
                <w:szCs w:val="22"/>
              </w:rPr>
              <w:t xml:space="preserve"> stations +</w:t>
            </w:r>
          </w:p>
          <w:p w14:paraId="5D349BE2" w14:textId="36E8666D" w:rsidR="00F723D6" w:rsidRPr="00D9447C" w:rsidRDefault="00F723D6" w:rsidP="005952CF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0F301D" w14:textId="5009E6F2" w:rsidR="00563478" w:rsidRDefault="00563478" w:rsidP="005952CF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↓</w:t>
            </w:r>
          </w:p>
          <w:p w14:paraId="4E170C89" w14:textId="3F6F0BA0" w:rsidR="00563478" w:rsidRDefault="00AE013B" w:rsidP="005952CF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↑</w:t>
            </w:r>
          </w:p>
          <w:p w14:paraId="464D054B" w14:textId="221DD5AA" w:rsidR="005952CF" w:rsidRPr="00317A51" w:rsidRDefault="00AE013B" w:rsidP="005952CF">
            <w:pPr>
              <w:pStyle w:val="Comment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↑</w:t>
            </w:r>
          </w:p>
        </w:tc>
        <w:tc>
          <w:tcPr>
            <w:tcW w:w="3260" w:type="dxa"/>
            <w:vAlign w:val="center"/>
          </w:tcPr>
          <w:p w14:paraId="0C8E6429" w14:textId="6D9A9ABE" w:rsidR="00AE013B" w:rsidRDefault="00AE013B" w:rsidP="005952C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73BF0">
              <w:rPr>
                <w:rFonts w:asciiTheme="minorHAnsi" w:hAnsiTheme="minorHAnsi" w:cstheme="minorHAnsi"/>
                <w:sz w:val="22"/>
                <w:szCs w:val="22"/>
              </w:rPr>
              <w:t xml:space="preserve">es concentrations virales détectées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restent stables mais à un niveau élevé, en particulier en Wallonie. </w:t>
            </w:r>
          </w:p>
          <w:p w14:paraId="13D0E012" w14:textId="6B901481" w:rsidR="00173BF0" w:rsidRPr="00DE70D6" w:rsidRDefault="00173BF0" w:rsidP="005952C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BA291F" w14:textId="77777777" w:rsidR="00B26DB0" w:rsidRPr="00207692" w:rsidRDefault="00B26DB0" w:rsidP="00B26DB0">
            <w:pPr>
              <w:pStyle w:val="FootnoteText"/>
              <w:numPr>
                <w:ilvl w:val="0"/>
                <w:numId w:val="10"/>
              </w:numPr>
              <w:tabs>
                <w:tab w:val="left" w:pos="25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7692">
              <w:rPr>
                <w:rFonts w:cstheme="minorHAnsi"/>
              </w:rPr>
              <w:t xml:space="preserve">Indicateur "Haute circulation" : zones où les concentrations virales mesurées sont élevées (&gt; 50% de la valeur maximale enregistrée lors de la 9ème vague). </w:t>
            </w:r>
          </w:p>
          <w:p w14:paraId="59C84993" w14:textId="77777777" w:rsidR="00B26DB0" w:rsidRPr="00207692" w:rsidRDefault="00B26DB0" w:rsidP="00B26DB0">
            <w:pPr>
              <w:pStyle w:val="FootnoteText"/>
              <w:numPr>
                <w:ilvl w:val="0"/>
                <w:numId w:val="10"/>
              </w:numPr>
              <w:tabs>
                <w:tab w:val="left" w:pos="25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7692">
              <w:rPr>
                <w:rFonts w:cstheme="minorHAnsi"/>
              </w:rPr>
              <w:t>Indicateur "Augmentation rapide" : zones dans lesquelles la circulation a augmenté rapidement lors de la semaine précédente (augmentation de plus de 70 % au cours des 7 derniers jours).</w:t>
            </w:r>
          </w:p>
          <w:p w14:paraId="73BB78E5" w14:textId="77777777" w:rsidR="00B26DB0" w:rsidRDefault="00B26DB0" w:rsidP="00B26DB0">
            <w:pPr>
              <w:pStyle w:val="FootnoteText"/>
              <w:numPr>
                <w:ilvl w:val="0"/>
                <w:numId w:val="10"/>
              </w:numPr>
              <w:tabs>
                <w:tab w:val="left" w:pos="25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7692">
              <w:rPr>
                <w:rFonts w:cstheme="minorHAnsi"/>
              </w:rPr>
              <w:t xml:space="preserve">Indicateur "Tendance à la hausse" : zones dans lesquelles les concentrations de virus ont augmenté pendant plus de 6 jours au cours des 14 derniers jours.  </w:t>
            </w:r>
          </w:p>
          <w:p w14:paraId="4F30D380" w14:textId="7A19E9FD" w:rsidR="005952CF" w:rsidRPr="00207692" w:rsidRDefault="00B26DB0" w:rsidP="00B26DB0">
            <w:pPr>
              <w:pStyle w:val="Comment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DB0">
              <w:rPr>
                <w:rFonts w:asciiTheme="minorHAnsi" w:hAnsiTheme="minorHAnsi" w:cstheme="minorHAnsi"/>
                <w:sz w:val="20"/>
              </w:rPr>
              <w:t xml:space="preserve">Plus d’informations sur la méthodologie et l’analyse des résultats sont disponibles dans un </w:t>
            </w:r>
            <w:hyperlink r:id="rId9" w:history="1">
              <w:r w:rsidRPr="00B26DB0">
                <w:rPr>
                  <w:rStyle w:val="Hyperlink"/>
                  <w:rFonts w:asciiTheme="minorHAnsi" w:hAnsiTheme="minorHAnsi" w:cstheme="minorHAnsi"/>
                  <w:sz w:val="20"/>
                  <w:lang w:val="fr-BE"/>
                </w:rPr>
                <w:t>Rapport hebdomadaire</w:t>
              </w:r>
            </w:hyperlink>
            <w:r>
              <w:rPr>
                <w:rStyle w:val="Hyperlink"/>
                <w:rFonts w:cstheme="minorHAnsi"/>
                <w:lang w:val="fr-BE"/>
              </w:rPr>
              <w:t>.</w:t>
            </w:r>
          </w:p>
        </w:tc>
      </w:tr>
      <w:tr w:rsidR="005952CF" w:rsidRPr="006E22E0" w14:paraId="2EA3C4F7" w14:textId="77777777" w:rsidTr="00396FD5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C7F46C" w14:textId="4151C1F2" w:rsidR="005952CF" w:rsidRPr="006D5A18" w:rsidRDefault="005952CF" w:rsidP="005952CF">
            <w:r w:rsidRPr="006D5A18">
              <w:lastRenderedPageBreak/>
              <w:t>Surveillance moléculaire </w:t>
            </w:r>
            <w:r w:rsidR="00563478">
              <w:rPr>
                <w:rStyle w:val="FootnoteReference"/>
              </w:rPr>
              <w:footnoteReference w:id="7"/>
            </w:r>
            <w:r w:rsidRPr="006D5A18">
              <w:t xml:space="preserve">: </w:t>
            </w:r>
          </w:p>
          <w:p w14:paraId="20F8B205" w14:textId="27176EEC" w:rsidR="005952CF" w:rsidRPr="00563478" w:rsidRDefault="005952CF" w:rsidP="00563478">
            <w:pPr>
              <w:pStyle w:val="ListParagraph"/>
              <w:numPr>
                <w:ilvl w:val="0"/>
                <w:numId w:val="9"/>
              </w:numPr>
            </w:pPr>
            <w:r w:rsidRPr="006D5A18">
              <w:t xml:space="preserve">Nombre total d’échantillons séquencés: </w:t>
            </w:r>
          </w:p>
          <w:p w14:paraId="124BBCE8" w14:textId="6A48AE89" w:rsidR="00563478" w:rsidRPr="00B05B3A" w:rsidRDefault="00563478" w:rsidP="00B26DB0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B05B3A">
              <w:rPr>
                <w:b w:val="0"/>
                <w:bCs w:val="0"/>
              </w:rPr>
              <w:t>XBB.1.5</w:t>
            </w:r>
          </w:p>
          <w:p w14:paraId="7E9ABD16" w14:textId="77777777" w:rsidR="00563478" w:rsidRPr="00B05B3A" w:rsidRDefault="00563478" w:rsidP="00563478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B05B3A">
              <w:rPr>
                <w:b w:val="0"/>
                <w:bCs w:val="0"/>
              </w:rPr>
              <w:t>XBB.1.16</w:t>
            </w:r>
          </w:p>
          <w:p w14:paraId="1154E6A9" w14:textId="773A6F5F" w:rsidR="00563478" w:rsidRPr="00B05B3A" w:rsidRDefault="00B26DB0" w:rsidP="00563478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B05B3A">
              <w:rPr>
                <w:b w:val="0"/>
                <w:bCs w:val="0"/>
              </w:rPr>
              <w:t>XBB.2.3</w:t>
            </w:r>
          </w:p>
          <w:p w14:paraId="0121AA01" w14:textId="2B987DEE" w:rsidR="00563478" w:rsidRPr="00B05B3A" w:rsidRDefault="00563478" w:rsidP="00563478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B05B3A">
              <w:rPr>
                <w:b w:val="0"/>
                <w:bCs w:val="0"/>
              </w:rPr>
              <w:t>EG.</w:t>
            </w:r>
            <w:r w:rsidR="00B26DB0" w:rsidRPr="00B05B3A">
              <w:rPr>
                <w:b w:val="0"/>
                <w:bCs w:val="0"/>
              </w:rPr>
              <w:t>5</w:t>
            </w:r>
          </w:p>
          <w:p w14:paraId="03839C38" w14:textId="77777777" w:rsidR="00563478" w:rsidRPr="00B05B3A" w:rsidRDefault="00563478" w:rsidP="00563478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B05B3A">
              <w:rPr>
                <w:b w:val="0"/>
                <w:bCs w:val="0"/>
              </w:rPr>
              <w:t>FL.1</w:t>
            </w:r>
          </w:p>
          <w:p w14:paraId="49072B2D" w14:textId="6B0CB821" w:rsidR="00563478" w:rsidRPr="00B05B3A" w:rsidRDefault="00563478" w:rsidP="00563478">
            <w:pPr>
              <w:pStyle w:val="ListParagraph"/>
              <w:numPr>
                <w:ilvl w:val="0"/>
                <w:numId w:val="9"/>
              </w:numPr>
            </w:pPr>
            <w:r w:rsidRPr="00B05B3A">
              <w:rPr>
                <w:b w:val="0"/>
                <w:bCs w:val="0"/>
              </w:rPr>
              <w:t>Autres</w:t>
            </w:r>
          </w:p>
          <w:p w14:paraId="52C3666A" w14:textId="77777777" w:rsidR="005952CF" w:rsidRPr="005952CF" w:rsidRDefault="005952CF" w:rsidP="005952CF">
            <w:pPr>
              <w:pStyle w:val="Comment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81B332" w14:textId="77777777" w:rsidR="00396FD5" w:rsidRPr="00B05B3A" w:rsidRDefault="00396FD5" w:rsidP="00396FD5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7BF9F" w14:textId="77777777" w:rsidR="00396FD5" w:rsidRPr="00B05B3A" w:rsidRDefault="00396FD5" w:rsidP="00396FD5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5A94C" w14:textId="5D07684A" w:rsidR="00B26DB0" w:rsidRDefault="00396FD5" w:rsidP="00396FD5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  <w:p w14:paraId="0038CA1C" w14:textId="77777777" w:rsidR="00B05B3A" w:rsidRPr="00B05B3A" w:rsidRDefault="00B05B3A" w:rsidP="00B05B3A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1292E" w14:textId="72692416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5.2%</w:t>
            </w:r>
          </w:p>
          <w:p w14:paraId="16A6428E" w14:textId="33FEA4F5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11.3%</w:t>
            </w:r>
          </w:p>
          <w:p w14:paraId="4B0B1362" w14:textId="1EDC5D12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1.0%</w:t>
            </w:r>
          </w:p>
          <w:p w14:paraId="7C04E710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35.1%</w:t>
            </w:r>
          </w:p>
          <w:p w14:paraId="1CB55A56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2.1%</w:t>
            </w:r>
          </w:p>
          <w:p w14:paraId="2D3CD6B6" w14:textId="06EB4426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41.2%</w:t>
            </w:r>
          </w:p>
        </w:tc>
        <w:tc>
          <w:tcPr>
            <w:tcW w:w="1560" w:type="dxa"/>
          </w:tcPr>
          <w:p w14:paraId="75ED8B04" w14:textId="77777777" w:rsidR="00396FD5" w:rsidRPr="00B05B3A" w:rsidRDefault="00396FD5" w:rsidP="00396FD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8B32" w14:textId="603D9520" w:rsidR="00396FD5" w:rsidRPr="00B05B3A" w:rsidRDefault="00396FD5" w:rsidP="00396FD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EE15D" w14:textId="77777777" w:rsidR="00B05B3A" w:rsidRPr="00B05B3A" w:rsidRDefault="00B05B3A" w:rsidP="00396FD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F3506" w14:textId="5B9DC466" w:rsidR="00396FD5" w:rsidRPr="00B05B3A" w:rsidRDefault="00396FD5" w:rsidP="00B05B3A">
            <w:pPr>
              <w:pStyle w:val="CommentText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  <w:p w14:paraId="47AAE7D0" w14:textId="78EAD2A1" w:rsidR="00B26DB0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1.7%</w:t>
            </w:r>
          </w:p>
          <w:p w14:paraId="735A1C4B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12.3%</w:t>
            </w:r>
          </w:p>
          <w:p w14:paraId="44741DA6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1.1%</w:t>
            </w:r>
          </w:p>
          <w:p w14:paraId="75E1A036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39.1%</w:t>
            </w:r>
          </w:p>
          <w:p w14:paraId="77103A25" w14:textId="7777777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6.7%</w:t>
            </w:r>
          </w:p>
          <w:p w14:paraId="1205D4AB" w14:textId="17E6D1D7" w:rsidR="00396FD5" w:rsidRPr="00B05B3A" w:rsidRDefault="00396FD5" w:rsidP="00396FD5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B3A">
              <w:rPr>
                <w:rFonts w:asciiTheme="minorHAnsi" w:hAnsiTheme="minorHAnsi" w:cstheme="minorHAnsi"/>
                <w:sz w:val="22"/>
                <w:szCs w:val="22"/>
              </w:rPr>
              <w:t>34.6%</w:t>
            </w:r>
          </w:p>
        </w:tc>
        <w:tc>
          <w:tcPr>
            <w:tcW w:w="1134" w:type="dxa"/>
            <w:vAlign w:val="center"/>
          </w:tcPr>
          <w:p w14:paraId="04BC61B7" w14:textId="77777777" w:rsidR="005952CF" w:rsidRPr="00317A51" w:rsidRDefault="005952CF" w:rsidP="005952CF">
            <w:pPr>
              <w:pStyle w:val="Comment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9FD68CB" w14:textId="7E685CFF" w:rsidR="005952CF" w:rsidRPr="00B26DB0" w:rsidRDefault="00173BF0" w:rsidP="005952CF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EG.5 est </w:t>
            </w:r>
            <w:r w:rsidR="009E11DF">
              <w:rPr>
                <w:rFonts w:asciiTheme="minorHAnsi" w:hAnsiTheme="minorHAnsi" w:cstheme="minorHAnsi"/>
                <w:sz w:val="22"/>
                <w:szCs w:val="22"/>
              </w:rPr>
              <w:t xml:space="preserve">toujours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variant dominant </w:t>
            </w:r>
          </w:p>
        </w:tc>
        <w:tc>
          <w:tcPr>
            <w:tcW w:w="4394" w:type="dxa"/>
          </w:tcPr>
          <w:p w14:paraId="19AA203F" w14:textId="75BD7AA9" w:rsidR="005952CF" w:rsidRPr="00B26DB0" w:rsidRDefault="00B26DB0" w:rsidP="005952CF">
            <w:pPr>
              <w:pStyle w:val="Comment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26DB0">
              <w:rPr>
                <w:rFonts w:asciiTheme="minorHAnsi" w:hAnsiTheme="minorHAnsi" w:cstheme="minorHAnsi"/>
                <w:sz w:val="20"/>
              </w:rPr>
              <w:t>De plus amples informations sont également disponibles sur le</w:t>
            </w:r>
            <w:r w:rsidRPr="00B26DB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hyperlink r:id="rId10" w:history="1">
              <w:r w:rsidRPr="00B26DB0">
                <w:rPr>
                  <w:rStyle w:val="Hyperlink"/>
                  <w:rFonts w:asciiTheme="minorHAnsi" w:hAnsiTheme="minorHAnsi" w:cstheme="minorHAnsi"/>
                  <w:sz w:val="20"/>
                  <w:lang w:val="fr-BE"/>
                </w:rPr>
                <w:t>site web du CNR</w:t>
              </w:r>
            </w:hyperlink>
            <w:r w:rsidRPr="00B26DB0">
              <w:rPr>
                <w:rStyle w:val="Hyperlink"/>
                <w:rFonts w:asciiTheme="minorHAnsi" w:hAnsiTheme="minorHAnsi" w:cstheme="minorHAnsi"/>
                <w:sz w:val="20"/>
                <w:lang w:val="fr-BE"/>
              </w:rPr>
              <w:t>.</w:t>
            </w:r>
          </w:p>
        </w:tc>
      </w:tr>
    </w:tbl>
    <w:p w14:paraId="4AC38F14" w14:textId="26DD5DC3" w:rsidR="003E3BCB" w:rsidRDefault="003E3BCB" w:rsidP="00DA4DA1">
      <w:pPr>
        <w:pStyle w:val="BodySciensano"/>
        <w:spacing w:line="276" w:lineRule="auto"/>
        <w:contextualSpacing w:val="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</w:p>
    <w:p w14:paraId="78EE1A31" w14:textId="51DC709D" w:rsidR="008B6084" w:rsidRDefault="008B6084">
      <w:pPr>
        <w:rPr>
          <w:rFonts w:eastAsia="Times New Roman" w:cstheme="minorHAnsi"/>
          <w:b/>
          <w:i/>
          <w:color w:val="00B050"/>
          <w:lang w:eastAsia="fr-BE"/>
        </w:rPr>
      </w:pPr>
    </w:p>
    <w:p w14:paraId="420F7040" w14:textId="77777777" w:rsidR="007B704E" w:rsidRDefault="00300063" w:rsidP="00B16083">
      <w:pPr>
        <w:pStyle w:val="Comment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16083">
        <w:rPr>
          <w:rFonts w:asciiTheme="minorHAnsi" w:hAnsiTheme="minorHAnsi" w:cstheme="minorHAnsi"/>
          <w:b/>
          <w:sz w:val="22"/>
          <w:szCs w:val="22"/>
        </w:rPr>
        <w:t>Les personnes suivantes ont participé à cet avis :</w:t>
      </w:r>
      <w:r w:rsidR="00B16083" w:rsidRPr="00B160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93F3AC" w14:textId="77777777" w:rsidR="00F2332E" w:rsidRPr="00F2332E" w:rsidRDefault="00F2332E" w:rsidP="00F2332E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bookmarkStart w:id="1" w:name="_Hlk148608052"/>
      <w:r w:rsidRPr="00F2332E">
        <w:rPr>
          <w:rFonts w:eastAsia="Times New Roman" w:cstheme="minorHAnsi"/>
          <w:sz w:val="24"/>
          <w:szCs w:val="24"/>
          <w:lang w:eastAsia="fr-BE"/>
        </w:rPr>
        <w:t>Emmanuel André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UZLeuven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>), Nathalie Bossuyt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Sciensano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>), Steven Callens (UZ Gent) , Isabelle Dagneaux (CCMG), Géraldine De Muylder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Sciensano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>), Pierre-Louis Deudon (CCMG), Julie Frère (CHU Liège), Anne-Claire Henry (ONE), Vicky Jespers (KCE), Quentin Mary (SSMG), Alessandro Pellegrino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AViQ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), Kathlyn 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Rodiere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 (ONE), Jasper Sans (COCOM), Lucie Seyler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UZBrussel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>), Jorgen Stassijns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Sciensano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>), Giulietta Stefani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Sciensano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), 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Gerlant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 van 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Berlaer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 (FOD Volksgezondheid), Jeroen van den Brandt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Domus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 Medica), Steven Van Gucht (</w:t>
      </w:r>
      <w:proofErr w:type="spellStart"/>
      <w:r w:rsidRPr="00F2332E">
        <w:rPr>
          <w:rFonts w:eastAsia="Times New Roman" w:cstheme="minorHAnsi"/>
          <w:sz w:val="24"/>
          <w:szCs w:val="24"/>
          <w:lang w:eastAsia="fr-BE"/>
        </w:rPr>
        <w:t>Sciensano</w:t>
      </w:r>
      <w:proofErr w:type="spellEnd"/>
      <w:r w:rsidRPr="00F2332E">
        <w:rPr>
          <w:rFonts w:eastAsia="Times New Roman" w:cstheme="minorHAnsi"/>
          <w:sz w:val="24"/>
          <w:szCs w:val="24"/>
          <w:lang w:eastAsia="fr-BE"/>
        </w:rPr>
        <w:t xml:space="preserve">), Gauthier Willemse (FOD Volksgezondheid). </w:t>
      </w:r>
    </w:p>
    <w:bookmarkEnd w:id="1"/>
    <w:p w14:paraId="7F0C8DAA" w14:textId="67B6FB85" w:rsidR="000F5FB5" w:rsidRPr="00003254" w:rsidRDefault="000F5FB5" w:rsidP="00EF7F0B">
      <w:pPr>
        <w:pStyle w:val="CommentText"/>
        <w:spacing w:after="120" w:line="276" w:lineRule="auto"/>
        <w:rPr>
          <w:rFonts w:asciiTheme="minorHAnsi" w:hAnsiTheme="minorHAnsi" w:cstheme="minorHAnsi"/>
        </w:rPr>
      </w:pPr>
    </w:p>
    <w:sectPr w:rsidR="000F5FB5" w:rsidRPr="00003254" w:rsidSect="00504C31">
      <w:pgSz w:w="15840" w:h="12240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8BD2" w14:textId="77777777" w:rsidR="0025270D" w:rsidRDefault="0025270D" w:rsidP="00316441">
      <w:pPr>
        <w:spacing w:after="0" w:line="240" w:lineRule="auto"/>
      </w:pPr>
      <w:r>
        <w:separator/>
      </w:r>
    </w:p>
  </w:endnote>
  <w:endnote w:type="continuationSeparator" w:id="0">
    <w:p w14:paraId="3CB6AD80" w14:textId="77777777" w:rsidR="0025270D" w:rsidRDefault="0025270D" w:rsidP="003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9490" w14:textId="77777777" w:rsidR="0025270D" w:rsidRDefault="0025270D" w:rsidP="00316441">
      <w:pPr>
        <w:spacing w:after="0" w:line="240" w:lineRule="auto"/>
      </w:pPr>
      <w:r>
        <w:separator/>
      </w:r>
    </w:p>
  </w:footnote>
  <w:footnote w:type="continuationSeparator" w:id="0">
    <w:p w14:paraId="735F140A" w14:textId="77777777" w:rsidR="0025270D" w:rsidRDefault="0025270D" w:rsidP="00316441">
      <w:pPr>
        <w:spacing w:after="0" w:line="240" w:lineRule="auto"/>
      </w:pPr>
      <w:r>
        <w:continuationSeparator/>
      </w:r>
    </w:p>
  </w:footnote>
  <w:footnote w:id="1">
    <w:p w14:paraId="556592F6" w14:textId="3B971193" w:rsidR="00496A21" w:rsidRPr="008614ED" w:rsidRDefault="00496A21" w:rsidP="008614ED">
      <w:pPr>
        <w:pStyle w:val="BodySciensano"/>
        <w:ind w:left="709" w:hanging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496A2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96A21">
        <w:rPr>
          <w:rFonts w:asciiTheme="minorHAnsi" w:hAnsiTheme="minorHAnsi" w:cstheme="minorHAnsi"/>
          <w:sz w:val="16"/>
          <w:szCs w:val="16"/>
        </w:rPr>
        <w:t xml:space="preserve"> </w:t>
      </w:r>
      <w:r w:rsidR="008614ED" w:rsidRPr="008614ED">
        <w:rPr>
          <w:rFonts w:asciiTheme="minorHAnsi" w:eastAsiaTheme="minorHAnsi" w:hAnsiTheme="minorHAnsi" w:cstheme="minorHAnsi"/>
          <w:sz w:val="16"/>
          <w:szCs w:val="16"/>
          <w:lang w:eastAsia="en-US"/>
        </w:rPr>
        <w:t>Résultats de la semaine 41 basés sur 42 cabinets de médecins généralistes, 33 maisons de repos (et de soins), 4 hôpitaux vigies et 41 stations d'épuration.</w:t>
      </w:r>
    </w:p>
  </w:footnote>
  <w:footnote w:id="2">
    <w:p w14:paraId="52071F49" w14:textId="63372863" w:rsidR="00496A21" w:rsidRPr="00496A21" w:rsidRDefault="00496A21">
      <w:pPr>
        <w:pStyle w:val="FootnoteText"/>
        <w:rPr>
          <w:rFonts w:cstheme="minorHAnsi"/>
          <w:sz w:val="16"/>
          <w:szCs w:val="16"/>
          <w:lang w:val="en-US"/>
        </w:rPr>
      </w:pPr>
      <w:r w:rsidRPr="00496A21">
        <w:rPr>
          <w:rStyle w:val="FootnoteReference"/>
          <w:rFonts w:cstheme="minorHAnsi"/>
          <w:sz w:val="16"/>
          <w:szCs w:val="16"/>
        </w:rPr>
        <w:footnoteRef/>
      </w:r>
      <w:r w:rsidRPr="00496A21">
        <w:rPr>
          <w:rFonts w:cstheme="minorHAnsi"/>
          <w:sz w:val="16"/>
          <w:szCs w:val="16"/>
        </w:rPr>
        <w:t xml:space="preserve"> Incidence hebdomadaire pour 100 000 habitants</w:t>
      </w:r>
    </w:p>
  </w:footnote>
  <w:footnote w:id="3">
    <w:p w14:paraId="1F0DCA10" w14:textId="75336EA3" w:rsidR="00496A21" w:rsidRPr="00496A21" w:rsidRDefault="00496A21" w:rsidP="00496A21">
      <w:pPr>
        <w:pStyle w:val="BodySciensano"/>
        <w:rPr>
          <w:rFonts w:asciiTheme="minorHAnsi" w:hAnsiTheme="minorHAnsi" w:cstheme="minorHAnsi"/>
          <w:sz w:val="16"/>
          <w:szCs w:val="16"/>
          <w:lang w:val="en-US"/>
        </w:rPr>
      </w:pPr>
      <w:r w:rsidRPr="00496A2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96A21">
        <w:rPr>
          <w:rFonts w:asciiTheme="minorHAnsi" w:hAnsiTheme="minorHAnsi" w:cstheme="minorHAnsi"/>
          <w:sz w:val="16"/>
          <w:szCs w:val="16"/>
        </w:rPr>
        <w:t xml:space="preserve"> Incidence hebdomadaire pour 1000 résidents</w:t>
      </w:r>
      <w:r w:rsidRPr="00496A21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 </w:t>
      </w:r>
      <w:r w:rsidRPr="00496A21">
        <w:rPr>
          <w:rFonts w:asciiTheme="minorHAnsi" w:hAnsiTheme="minorHAnsi" w:cstheme="minorHAnsi"/>
          <w:sz w:val="16"/>
          <w:szCs w:val="16"/>
        </w:rPr>
        <w:t>MR/MRS</w:t>
      </w:r>
    </w:p>
  </w:footnote>
  <w:footnote w:id="4">
    <w:p w14:paraId="49A30ECF" w14:textId="24A67E30" w:rsidR="00496A21" w:rsidRPr="00496A21" w:rsidRDefault="00496A21" w:rsidP="00496A21">
      <w:pPr>
        <w:pStyle w:val="BodySciensano"/>
        <w:ind w:left="709" w:hanging="709"/>
        <w:rPr>
          <w:rFonts w:asciiTheme="minorHAnsi" w:hAnsiTheme="minorHAnsi" w:cstheme="minorHAnsi"/>
          <w:sz w:val="16"/>
          <w:szCs w:val="16"/>
          <w:lang w:val="en-US"/>
        </w:rPr>
      </w:pPr>
      <w:r w:rsidRPr="00496A2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96A21">
        <w:rPr>
          <w:rFonts w:asciiTheme="minorHAnsi" w:hAnsiTheme="minorHAnsi" w:cstheme="minorHAnsi"/>
          <w:sz w:val="16"/>
          <w:szCs w:val="16"/>
        </w:rPr>
        <w:t xml:space="preserve"> Incidence hebdomadaire pour 100 000 habitants. Une complication grave est définie comme un décès, un ARDS, une admission en unité de soins intensifs, ECMO ou ventilation invasive.</w:t>
      </w:r>
    </w:p>
  </w:footnote>
  <w:footnote w:id="5">
    <w:p w14:paraId="216D685D" w14:textId="33DBA07F" w:rsidR="00496A21" w:rsidRPr="00496A21" w:rsidRDefault="00496A21" w:rsidP="008660AE">
      <w:pPr>
        <w:pStyle w:val="BodySciensano"/>
        <w:rPr>
          <w:rFonts w:cstheme="minorHAnsi"/>
          <w:sz w:val="16"/>
          <w:szCs w:val="16"/>
          <w:lang w:val="en-US"/>
        </w:rPr>
      </w:pPr>
      <w:r w:rsidRPr="00496A2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96A21">
        <w:rPr>
          <w:rFonts w:asciiTheme="minorHAnsi" w:hAnsiTheme="minorHAnsi" w:cstheme="minorHAnsi"/>
          <w:sz w:val="16"/>
          <w:szCs w:val="16"/>
        </w:rPr>
        <w:t xml:space="preserve"> Nombre de zones où l'indicateur de haute circulation est positif.</w:t>
      </w:r>
    </w:p>
  </w:footnote>
  <w:footnote w:id="6">
    <w:p w14:paraId="0310BE12" w14:textId="4117F310" w:rsidR="005952CF" w:rsidRDefault="005952CF" w:rsidP="00EE5916">
      <w:pPr>
        <w:pStyle w:val="FootnoteText"/>
      </w:pPr>
      <w:r>
        <w:rPr>
          <w:rStyle w:val="FootnoteReference"/>
        </w:rPr>
        <w:footnoteRef/>
      </w:r>
      <w:r>
        <w:t xml:space="preserve"> Données du 1</w:t>
      </w:r>
      <w:r w:rsidR="00AE013B">
        <w:t>1</w:t>
      </w:r>
      <w:r>
        <w:t xml:space="preserve"> </w:t>
      </w:r>
      <w:r w:rsidR="00AE013B">
        <w:t xml:space="preserve">octobre </w:t>
      </w:r>
      <w:r>
        <w:t xml:space="preserve">(semaine </w:t>
      </w:r>
      <w:r w:rsidR="00AE013B">
        <w:t>41</w:t>
      </w:r>
      <w:r>
        <w:t xml:space="preserve">) comparées aux données du </w:t>
      </w:r>
      <w:r w:rsidR="00AE013B">
        <w:t>4</w:t>
      </w:r>
      <w:r>
        <w:t xml:space="preserve"> </w:t>
      </w:r>
      <w:r w:rsidR="00AE013B">
        <w:t xml:space="preserve">octobre </w:t>
      </w:r>
      <w:r>
        <w:t xml:space="preserve">(semaine </w:t>
      </w:r>
      <w:r w:rsidR="00AE013B">
        <w:t>40</w:t>
      </w:r>
      <w:r>
        <w:t xml:space="preserve">) </w:t>
      </w:r>
    </w:p>
  </w:footnote>
  <w:footnote w:id="7">
    <w:p w14:paraId="788A294B" w14:textId="47A33474" w:rsidR="00563478" w:rsidRPr="00563478" w:rsidRDefault="005634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 </w:t>
      </w:r>
      <w:r w:rsidR="00396FD5">
        <w:rPr>
          <w:lang w:val="en-US"/>
        </w:rPr>
        <w:t>40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comparées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 </w:t>
      </w:r>
      <w:r w:rsidR="00396FD5">
        <w:rPr>
          <w:lang w:val="en-US"/>
        </w:rPr>
        <w:t>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31"/>
    <w:multiLevelType w:val="hybridMultilevel"/>
    <w:tmpl w:val="E28C9E9A"/>
    <w:lvl w:ilvl="0" w:tplc="1052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5F61"/>
    <w:multiLevelType w:val="hybridMultilevel"/>
    <w:tmpl w:val="C03424F6"/>
    <w:lvl w:ilvl="0" w:tplc="696A68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B28"/>
    <w:multiLevelType w:val="hybridMultilevel"/>
    <w:tmpl w:val="266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1C91"/>
    <w:multiLevelType w:val="hybridMultilevel"/>
    <w:tmpl w:val="3C3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C30"/>
    <w:multiLevelType w:val="hybridMultilevel"/>
    <w:tmpl w:val="ED1AB98C"/>
    <w:lvl w:ilvl="0" w:tplc="1052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B6752"/>
    <w:multiLevelType w:val="hybridMultilevel"/>
    <w:tmpl w:val="CB3C5BB2"/>
    <w:lvl w:ilvl="0" w:tplc="2ABCCC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B7689"/>
    <w:multiLevelType w:val="hybridMultilevel"/>
    <w:tmpl w:val="643A7900"/>
    <w:lvl w:ilvl="0" w:tplc="85DE1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6A00"/>
    <w:multiLevelType w:val="hybridMultilevel"/>
    <w:tmpl w:val="187A5F70"/>
    <w:lvl w:ilvl="0" w:tplc="C1FC9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7902"/>
    <w:multiLevelType w:val="hybridMultilevel"/>
    <w:tmpl w:val="7D047A00"/>
    <w:lvl w:ilvl="0" w:tplc="2D440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15153"/>
    <w:multiLevelType w:val="hybridMultilevel"/>
    <w:tmpl w:val="072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02AC"/>
    <w:multiLevelType w:val="hybridMultilevel"/>
    <w:tmpl w:val="818EA8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35DB"/>
    <w:multiLevelType w:val="hybridMultilevel"/>
    <w:tmpl w:val="8AEE40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B5252E4"/>
    <w:multiLevelType w:val="hybridMultilevel"/>
    <w:tmpl w:val="1C8A1ABA"/>
    <w:lvl w:ilvl="0" w:tplc="1052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17A27"/>
    <w:multiLevelType w:val="hybridMultilevel"/>
    <w:tmpl w:val="731A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A3321"/>
    <w:multiLevelType w:val="multilevel"/>
    <w:tmpl w:val="A08A5D92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5D3330BE"/>
    <w:multiLevelType w:val="hybridMultilevel"/>
    <w:tmpl w:val="4572AD12"/>
    <w:lvl w:ilvl="0" w:tplc="1052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82911"/>
    <w:multiLevelType w:val="hybridMultilevel"/>
    <w:tmpl w:val="62665ECE"/>
    <w:lvl w:ilvl="0" w:tplc="0D34CC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47BE0"/>
    <w:multiLevelType w:val="hybridMultilevel"/>
    <w:tmpl w:val="83142574"/>
    <w:lvl w:ilvl="0" w:tplc="392E29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C7B75"/>
    <w:multiLevelType w:val="hybridMultilevel"/>
    <w:tmpl w:val="FFFCFF2A"/>
    <w:lvl w:ilvl="0" w:tplc="392E2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8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41"/>
    <w:rsid w:val="0000117A"/>
    <w:rsid w:val="00003254"/>
    <w:rsid w:val="00003FBE"/>
    <w:rsid w:val="00005374"/>
    <w:rsid w:val="00011F2F"/>
    <w:rsid w:val="0001574B"/>
    <w:rsid w:val="00020B36"/>
    <w:rsid w:val="00021A6A"/>
    <w:rsid w:val="0002355B"/>
    <w:rsid w:val="000260A2"/>
    <w:rsid w:val="000265D2"/>
    <w:rsid w:val="00030CC4"/>
    <w:rsid w:val="00040D3C"/>
    <w:rsid w:val="00043E7E"/>
    <w:rsid w:val="00045376"/>
    <w:rsid w:val="00047C5E"/>
    <w:rsid w:val="000502BC"/>
    <w:rsid w:val="00051C2D"/>
    <w:rsid w:val="00052762"/>
    <w:rsid w:val="00053B5A"/>
    <w:rsid w:val="00053E68"/>
    <w:rsid w:val="000559DC"/>
    <w:rsid w:val="0005615C"/>
    <w:rsid w:val="00060418"/>
    <w:rsid w:val="000618CF"/>
    <w:rsid w:val="00065F6C"/>
    <w:rsid w:val="00070E54"/>
    <w:rsid w:val="00071A7B"/>
    <w:rsid w:val="00071E03"/>
    <w:rsid w:val="000737B7"/>
    <w:rsid w:val="00074989"/>
    <w:rsid w:val="0008331C"/>
    <w:rsid w:val="0008339E"/>
    <w:rsid w:val="00087282"/>
    <w:rsid w:val="00090454"/>
    <w:rsid w:val="000952F9"/>
    <w:rsid w:val="000976D5"/>
    <w:rsid w:val="000A258D"/>
    <w:rsid w:val="000B4D58"/>
    <w:rsid w:val="000B5D6D"/>
    <w:rsid w:val="000C33C9"/>
    <w:rsid w:val="000C3768"/>
    <w:rsid w:val="000C3AAD"/>
    <w:rsid w:val="000C67D7"/>
    <w:rsid w:val="000C6A1A"/>
    <w:rsid w:val="000C7E5B"/>
    <w:rsid w:val="000D4B98"/>
    <w:rsid w:val="000D4F93"/>
    <w:rsid w:val="000D7AAD"/>
    <w:rsid w:val="000E12E3"/>
    <w:rsid w:val="000E3624"/>
    <w:rsid w:val="000F4CE6"/>
    <w:rsid w:val="000F5B0F"/>
    <w:rsid w:val="000F5FB5"/>
    <w:rsid w:val="000F74CA"/>
    <w:rsid w:val="00103294"/>
    <w:rsid w:val="00105B3A"/>
    <w:rsid w:val="00106A30"/>
    <w:rsid w:val="00107A5E"/>
    <w:rsid w:val="00111B5A"/>
    <w:rsid w:val="00121C11"/>
    <w:rsid w:val="00123EED"/>
    <w:rsid w:val="00125471"/>
    <w:rsid w:val="00127C7A"/>
    <w:rsid w:val="00127E65"/>
    <w:rsid w:val="00135AA6"/>
    <w:rsid w:val="0014236C"/>
    <w:rsid w:val="001424C8"/>
    <w:rsid w:val="0014353F"/>
    <w:rsid w:val="00144A87"/>
    <w:rsid w:val="00144BC9"/>
    <w:rsid w:val="00145F9F"/>
    <w:rsid w:val="00151D4B"/>
    <w:rsid w:val="001550FB"/>
    <w:rsid w:val="0016198A"/>
    <w:rsid w:val="001658B3"/>
    <w:rsid w:val="00166349"/>
    <w:rsid w:val="00173BF0"/>
    <w:rsid w:val="00176AFE"/>
    <w:rsid w:val="00177C61"/>
    <w:rsid w:val="00182538"/>
    <w:rsid w:val="00187685"/>
    <w:rsid w:val="00193785"/>
    <w:rsid w:val="0019466C"/>
    <w:rsid w:val="00194F73"/>
    <w:rsid w:val="001A1C96"/>
    <w:rsid w:val="001A4463"/>
    <w:rsid w:val="001A4486"/>
    <w:rsid w:val="001A780E"/>
    <w:rsid w:val="001A798C"/>
    <w:rsid w:val="001C26FA"/>
    <w:rsid w:val="001C2E6C"/>
    <w:rsid w:val="001C5571"/>
    <w:rsid w:val="001D0C56"/>
    <w:rsid w:val="001D19DD"/>
    <w:rsid w:val="001D5A36"/>
    <w:rsid w:val="001D5B7F"/>
    <w:rsid w:val="001D61D5"/>
    <w:rsid w:val="001E726E"/>
    <w:rsid w:val="001F5D52"/>
    <w:rsid w:val="001F619D"/>
    <w:rsid w:val="001F69FF"/>
    <w:rsid w:val="001F79D6"/>
    <w:rsid w:val="002007E4"/>
    <w:rsid w:val="00201531"/>
    <w:rsid w:val="00201866"/>
    <w:rsid w:val="00207692"/>
    <w:rsid w:val="00211460"/>
    <w:rsid w:val="00211654"/>
    <w:rsid w:val="00213B61"/>
    <w:rsid w:val="002143AA"/>
    <w:rsid w:val="002147D8"/>
    <w:rsid w:val="0021684B"/>
    <w:rsid w:val="00216A0B"/>
    <w:rsid w:val="0022216A"/>
    <w:rsid w:val="00222CF9"/>
    <w:rsid w:val="00223480"/>
    <w:rsid w:val="00224EE6"/>
    <w:rsid w:val="002301E6"/>
    <w:rsid w:val="00235CF0"/>
    <w:rsid w:val="0024231F"/>
    <w:rsid w:val="0025270D"/>
    <w:rsid w:val="0026026E"/>
    <w:rsid w:val="00263382"/>
    <w:rsid w:val="002634C6"/>
    <w:rsid w:val="00264ABC"/>
    <w:rsid w:val="00266C53"/>
    <w:rsid w:val="00267175"/>
    <w:rsid w:val="00272F4F"/>
    <w:rsid w:val="002731B1"/>
    <w:rsid w:val="00280E2F"/>
    <w:rsid w:val="00286EE6"/>
    <w:rsid w:val="00287E3A"/>
    <w:rsid w:val="00293318"/>
    <w:rsid w:val="00294B35"/>
    <w:rsid w:val="002A0898"/>
    <w:rsid w:val="002A2417"/>
    <w:rsid w:val="002A35DC"/>
    <w:rsid w:val="002A38DC"/>
    <w:rsid w:val="002A4112"/>
    <w:rsid w:val="002B3FB6"/>
    <w:rsid w:val="002B4F40"/>
    <w:rsid w:val="002B5885"/>
    <w:rsid w:val="002B6A87"/>
    <w:rsid w:val="002B7A64"/>
    <w:rsid w:val="002C2F5D"/>
    <w:rsid w:val="002C5940"/>
    <w:rsid w:val="002D09FD"/>
    <w:rsid w:val="002D449E"/>
    <w:rsid w:val="002D72A4"/>
    <w:rsid w:val="002E1A67"/>
    <w:rsid w:val="002E25FE"/>
    <w:rsid w:val="002E26D1"/>
    <w:rsid w:val="002E631A"/>
    <w:rsid w:val="002F1A25"/>
    <w:rsid w:val="002F1ADB"/>
    <w:rsid w:val="002F2924"/>
    <w:rsid w:val="00300063"/>
    <w:rsid w:val="00300EB9"/>
    <w:rsid w:val="00310274"/>
    <w:rsid w:val="0031521C"/>
    <w:rsid w:val="00316441"/>
    <w:rsid w:val="00317A51"/>
    <w:rsid w:val="00320F8B"/>
    <w:rsid w:val="00323EDB"/>
    <w:rsid w:val="00326A34"/>
    <w:rsid w:val="00335CF2"/>
    <w:rsid w:val="003361FF"/>
    <w:rsid w:val="00336246"/>
    <w:rsid w:val="00336C77"/>
    <w:rsid w:val="0034064D"/>
    <w:rsid w:val="00341F08"/>
    <w:rsid w:val="003442DB"/>
    <w:rsid w:val="00344908"/>
    <w:rsid w:val="00351827"/>
    <w:rsid w:val="003530FE"/>
    <w:rsid w:val="003537FA"/>
    <w:rsid w:val="00362779"/>
    <w:rsid w:val="003727DE"/>
    <w:rsid w:val="00372F0F"/>
    <w:rsid w:val="00373A73"/>
    <w:rsid w:val="003740CA"/>
    <w:rsid w:val="00376932"/>
    <w:rsid w:val="00377B27"/>
    <w:rsid w:val="00383686"/>
    <w:rsid w:val="00385412"/>
    <w:rsid w:val="00386868"/>
    <w:rsid w:val="0039079A"/>
    <w:rsid w:val="00396025"/>
    <w:rsid w:val="00396318"/>
    <w:rsid w:val="0039640E"/>
    <w:rsid w:val="00396FD5"/>
    <w:rsid w:val="003A64DE"/>
    <w:rsid w:val="003B58F3"/>
    <w:rsid w:val="003C104C"/>
    <w:rsid w:val="003D683F"/>
    <w:rsid w:val="003E3BCB"/>
    <w:rsid w:val="003E608F"/>
    <w:rsid w:val="00400834"/>
    <w:rsid w:val="00402280"/>
    <w:rsid w:val="004022D8"/>
    <w:rsid w:val="0040393D"/>
    <w:rsid w:val="00407088"/>
    <w:rsid w:val="00407FA3"/>
    <w:rsid w:val="00410A62"/>
    <w:rsid w:val="00410B8C"/>
    <w:rsid w:val="00412DAE"/>
    <w:rsid w:val="004145E1"/>
    <w:rsid w:val="0042173E"/>
    <w:rsid w:val="00422E6A"/>
    <w:rsid w:val="00426C7B"/>
    <w:rsid w:val="004316B0"/>
    <w:rsid w:val="00443DF3"/>
    <w:rsid w:val="00453A75"/>
    <w:rsid w:val="00455C04"/>
    <w:rsid w:val="00456FA9"/>
    <w:rsid w:val="00461036"/>
    <w:rsid w:val="00463A1E"/>
    <w:rsid w:val="00465B24"/>
    <w:rsid w:val="00465CC0"/>
    <w:rsid w:val="00467E25"/>
    <w:rsid w:val="00471D50"/>
    <w:rsid w:val="0047217F"/>
    <w:rsid w:val="004734B0"/>
    <w:rsid w:val="0047546F"/>
    <w:rsid w:val="004805EB"/>
    <w:rsid w:val="00480718"/>
    <w:rsid w:val="00481B6A"/>
    <w:rsid w:val="0048361B"/>
    <w:rsid w:val="00483FD4"/>
    <w:rsid w:val="0048433F"/>
    <w:rsid w:val="0049178F"/>
    <w:rsid w:val="00496A21"/>
    <w:rsid w:val="00497F7A"/>
    <w:rsid w:val="004A4FBB"/>
    <w:rsid w:val="004A50B8"/>
    <w:rsid w:val="004C1BEF"/>
    <w:rsid w:val="004C698D"/>
    <w:rsid w:val="004D2551"/>
    <w:rsid w:val="004D3476"/>
    <w:rsid w:val="004D463D"/>
    <w:rsid w:val="004D7710"/>
    <w:rsid w:val="004E0697"/>
    <w:rsid w:val="004E3ED1"/>
    <w:rsid w:val="004F0599"/>
    <w:rsid w:val="0050381F"/>
    <w:rsid w:val="00504C31"/>
    <w:rsid w:val="005077E0"/>
    <w:rsid w:val="005079A8"/>
    <w:rsid w:val="005105F2"/>
    <w:rsid w:val="005170A6"/>
    <w:rsid w:val="00523669"/>
    <w:rsid w:val="005377DC"/>
    <w:rsid w:val="0054401B"/>
    <w:rsid w:val="00545DD3"/>
    <w:rsid w:val="005470A4"/>
    <w:rsid w:val="00551784"/>
    <w:rsid w:val="00555150"/>
    <w:rsid w:val="00556E69"/>
    <w:rsid w:val="00560576"/>
    <w:rsid w:val="00562304"/>
    <w:rsid w:val="005629C4"/>
    <w:rsid w:val="00563478"/>
    <w:rsid w:val="00566C92"/>
    <w:rsid w:val="00566CFD"/>
    <w:rsid w:val="005710ED"/>
    <w:rsid w:val="00571FC0"/>
    <w:rsid w:val="005728FF"/>
    <w:rsid w:val="00581B76"/>
    <w:rsid w:val="00583891"/>
    <w:rsid w:val="005876AB"/>
    <w:rsid w:val="00593A7E"/>
    <w:rsid w:val="005946AA"/>
    <w:rsid w:val="005952CF"/>
    <w:rsid w:val="005A284E"/>
    <w:rsid w:val="005A364B"/>
    <w:rsid w:val="005A5FAA"/>
    <w:rsid w:val="005B0535"/>
    <w:rsid w:val="005B0AA0"/>
    <w:rsid w:val="005B1DE9"/>
    <w:rsid w:val="005C508C"/>
    <w:rsid w:val="005C7436"/>
    <w:rsid w:val="005D26F4"/>
    <w:rsid w:val="005D43A1"/>
    <w:rsid w:val="005E563C"/>
    <w:rsid w:val="00601D60"/>
    <w:rsid w:val="006047AF"/>
    <w:rsid w:val="00610AD8"/>
    <w:rsid w:val="00610DDD"/>
    <w:rsid w:val="006119A5"/>
    <w:rsid w:val="0061296B"/>
    <w:rsid w:val="006138FE"/>
    <w:rsid w:val="00615683"/>
    <w:rsid w:val="0061699E"/>
    <w:rsid w:val="0062082C"/>
    <w:rsid w:val="00630FE6"/>
    <w:rsid w:val="00632ED4"/>
    <w:rsid w:val="00633AA5"/>
    <w:rsid w:val="006428A6"/>
    <w:rsid w:val="0064343A"/>
    <w:rsid w:val="00655856"/>
    <w:rsid w:val="006571C2"/>
    <w:rsid w:val="006571E2"/>
    <w:rsid w:val="006657AB"/>
    <w:rsid w:val="00671E92"/>
    <w:rsid w:val="00672FE6"/>
    <w:rsid w:val="006734E6"/>
    <w:rsid w:val="00681565"/>
    <w:rsid w:val="00681839"/>
    <w:rsid w:val="006846A1"/>
    <w:rsid w:val="00684C82"/>
    <w:rsid w:val="00686A6E"/>
    <w:rsid w:val="00690788"/>
    <w:rsid w:val="00691210"/>
    <w:rsid w:val="006918C3"/>
    <w:rsid w:val="00692C33"/>
    <w:rsid w:val="006A24C4"/>
    <w:rsid w:val="006A31C1"/>
    <w:rsid w:val="006A5E5C"/>
    <w:rsid w:val="006A68F7"/>
    <w:rsid w:val="006A6BD7"/>
    <w:rsid w:val="006B0C25"/>
    <w:rsid w:val="006B5861"/>
    <w:rsid w:val="006B5BFE"/>
    <w:rsid w:val="006B6905"/>
    <w:rsid w:val="006B6B36"/>
    <w:rsid w:val="006B7A35"/>
    <w:rsid w:val="006C1BEC"/>
    <w:rsid w:val="006C308E"/>
    <w:rsid w:val="006C335D"/>
    <w:rsid w:val="006C3EC4"/>
    <w:rsid w:val="006D5A18"/>
    <w:rsid w:val="006E1254"/>
    <w:rsid w:val="006E1EBE"/>
    <w:rsid w:val="006E22E0"/>
    <w:rsid w:val="006E4765"/>
    <w:rsid w:val="006E68C9"/>
    <w:rsid w:val="006E7DB6"/>
    <w:rsid w:val="006F0DC5"/>
    <w:rsid w:val="006F79D0"/>
    <w:rsid w:val="006F7B36"/>
    <w:rsid w:val="0070008A"/>
    <w:rsid w:val="00701425"/>
    <w:rsid w:val="00702533"/>
    <w:rsid w:val="00704A2F"/>
    <w:rsid w:val="00705522"/>
    <w:rsid w:val="00705EF0"/>
    <w:rsid w:val="00710A32"/>
    <w:rsid w:val="00711615"/>
    <w:rsid w:val="00712FE5"/>
    <w:rsid w:val="00715280"/>
    <w:rsid w:val="00721561"/>
    <w:rsid w:val="00723D47"/>
    <w:rsid w:val="00730AB2"/>
    <w:rsid w:val="00737D1B"/>
    <w:rsid w:val="0074145E"/>
    <w:rsid w:val="00746FE9"/>
    <w:rsid w:val="00747605"/>
    <w:rsid w:val="0075074B"/>
    <w:rsid w:val="007601FA"/>
    <w:rsid w:val="0076223B"/>
    <w:rsid w:val="00762384"/>
    <w:rsid w:val="00766A29"/>
    <w:rsid w:val="0077134F"/>
    <w:rsid w:val="00772938"/>
    <w:rsid w:val="00773903"/>
    <w:rsid w:val="0078675B"/>
    <w:rsid w:val="00791C8A"/>
    <w:rsid w:val="00797E73"/>
    <w:rsid w:val="007A013F"/>
    <w:rsid w:val="007A09F8"/>
    <w:rsid w:val="007A0FCA"/>
    <w:rsid w:val="007B1D21"/>
    <w:rsid w:val="007B3DD1"/>
    <w:rsid w:val="007B6F33"/>
    <w:rsid w:val="007B704E"/>
    <w:rsid w:val="007D08B8"/>
    <w:rsid w:val="007D25C1"/>
    <w:rsid w:val="007D36DC"/>
    <w:rsid w:val="007D3D46"/>
    <w:rsid w:val="007D49E7"/>
    <w:rsid w:val="007E12BE"/>
    <w:rsid w:val="007E1D05"/>
    <w:rsid w:val="007E307F"/>
    <w:rsid w:val="007E5A1B"/>
    <w:rsid w:val="007E7EA0"/>
    <w:rsid w:val="007F02B2"/>
    <w:rsid w:val="007F3D3C"/>
    <w:rsid w:val="007F5063"/>
    <w:rsid w:val="008023A4"/>
    <w:rsid w:val="00803087"/>
    <w:rsid w:val="0080439C"/>
    <w:rsid w:val="008049AA"/>
    <w:rsid w:val="00805379"/>
    <w:rsid w:val="00810B7B"/>
    <w:rsid w:val="0081364E"/>
    <w:rsid w:val="00813B66"/>
    <w:rsid w:val="008219C4"/>
    <w:rsid w:val="0082204D"/>
    <w:rsid w:val="008234E0"/>
    <w:rsid w:val="00824F90"/>
    <w:rsid w:val="008257F2"/>
    <w:rsid w:val="0082657C"/>
    <w:rsid w:val="008431EA"/>
    <w:rsid w:val="00843AAA"/>
    <w:rsid w:val="00844ED7"/>
    <w:rsid w:val="00845E31"/>
    <w:rsid w:val="00847034"/>
    <w:rsid w:val="008614ED"/>
    <w:rsid w:val="008627B9"/>
    <w:rsid w:val="008650F5"/>
    <w:rsid w:val="008660AE"/>
    <w:rsid w:val="00867F67"/>
    <w:rsid w:val="00871DE4"/>
    <w:rsid w:val="00880023"/>
    <w:rsid w:val="00881D64"/>
    <w:rsid w:val="00882D9A"/>
    <w:rsid w:val="00883927"/>
    <w:rsid w:val="00884028"/>
    <w:rsid w:val="008859D3"/>
    <w:rsid w:val="008918AE"/>
    <w:rsid w:val="008A4734"/>
    <w:rsid w:val="008A7418"/>
    <w:rsid w:val="008B10CD"/>
    <w:rsid w:val="008B2F4A"/>
    <w:rsid w:val="008B31B0"/>
    <w:rsid w:val="008B6084"/>
    <w:rsid w:val="008B76D7"/>
    <w:rsid w:val="008C3AE5"/>
    <w:rsid w:val="008C5968"/>
    <w:rsid w:val="008D133E"/>
    <w:rsid w:val="008D31A6"/>
    <w:rsid w:val="008D4A0D"/>
    <w:rsid w:val="008E2FD5"/>
    <w:rsid w:val="008E49E3"/>
    <w:rsid w:val="008E4E8E"/>
    <w:rsid w:val="008E7A21"/>
    <w:rsid w:val="008F1C92"/>
    <w:rsid w:val="008F27E4"/>
    <w:rsid w:val="0090491B"/>
    <w:rsid w:val="00911922"/>
    <w:rsid w:val="00912083"/>
    <w:rsid w:val="00913C6A"/>
    <w:rsid w:val="009159B0"/>
    <w:rsid w:val="009177D2"/>
    <w:rsid w:val="00917ACE"/>
    <w:rsid w:val="00922012"/>
    <w:rsid w:val="00926BDC"/>
    <w:rsid w:val="0094184E"/>
    <w:rsid w:val="00943BDF"/>
    <w:rsid w:val="00953770"/>
    <w:rsid w:val="009569E7"/>
    <w:rsid w:val="00962B7B"/>
    <w:rsid w:val="00964142"/>
    <w:rsid w:val="009645E8"/>
    <w:rsid w:val="0096485C"/>
    <w:rsid w:val="00967CAA"/>
    <w:rsid w:val="00970AF7"/>
    <w:rsid w:val="00972F2F"/>
    <w:rsid w:val="00974C3D"/>
    <w:rsid w:val="00975C6A"/>
    <w:rsid w:val="00976D30"/>
    <w:rsid w:val="00976FE3"/>
    <w:rsid w:val="0098077D"/>
    <w:rsid w:val="00982AE0"/>
    <w:rsid w:val="0098437A"/>
    <w:rsid w:val="009857CC"/>
    <w:rsid w:val="00987B60"/>
    <w:rsid w:val="00990227"/>
    <w:rsid w:val="00990D0D"/>
    <w:rsid w:val="00991A50"/>
    <w:rsid w:val="00994F43"/>
    <w:rsid w:val="009975E2"/>
    <w:rsid w:val="009A571C"/>
    <w:rsid w:val="009B023E"/>
    <w:rsid w:val="009B21ED"/>
    <w:rsid w:val="009B2AC1"/>
    <w:rsid w:val="009B46CA"/>
    <w:rsid w:val="009B66AD"/>
    <w:rsid w:val="009B7A24"/>
    <w:rsid w:val="009C16AC"/>
    <w:rsid w:val="009C1905"/>
    <w:rsid w:val="009C193C"/>
    <w:rsid w:val="009D1654"/>
    <w:rsid w:val="009D1E67"/>
    <w:rsid w:val="009D6FED"/>
    <w:rsid w:val="009E0C3B"/>
    <w:rsid w:val="009E11DF"/>
    <w:rsid w:val="009E363B"/>
    <w:rsid w:val="009F3ACF"/>
    <w:rsid w:val="009F45A7"/>
    <w:rsid w:val="009F49A0"/>
    <w:rsid w:val="009F69DB"/>
    <w:rsid w:val="00A001FD"/>
    <w:rsid w:val="00A03C83"/>
    <w:rsid w:val="00A03E8E"/>
    <w:rsid w:val="00A051AD"/>
    <w:rsid w:val="00A0546A"/>
    <w:rsid w:val="00A20A58"/>
    <w:rsid w:val="00A21EF1"/>
    <w:rsid w:val="00A31905"/>
    <w:rsid w:val="00A40DE7"/>
    <w:rsid w:val="00A625AF"/>
    <w:rsid w:val="00A62B53"/>
    <w:rsid w:val="00A6322E"/>
    <w:rsid w:val="00A7182A"/>
    <w:rsid w:val="00A76312"/>
    <w:rsid w:val="00A81F70"/>
    <w:rsid w:val="00A82022"/>
    <w:rsid w:val="00A82DB4"/>
    <w:rsid w:val="00A83631"/>
    <w:rsid w:val="00A844ED"/>
    <w:rsid w:val="00A84BF4"/>
    <w:rsid w:val="00A85CFD"/>
    <w:rsid w:val="00A92E95"/>
    <w:rsid w:val="00A97D96"/>
    <w:rsid w:val="00AA2FB1"/>
    <w:rsid w:val="00AA6CAD"/>
    <w:rsid w:val="00AB2A86"/>
    <w:rsid w:val="00AC39C8"/>
    <w:rsid w:val="00AC64EE"/>
    <w:rsid w:val="00AC656B"/>
    <w:rsid w:val="00AD44B9"/>
    <w:rsid w:val="00AD7EA2"/>
    <w:rsid w:val="00AE013B"/>
    <w:rsid w:val="00AE1270"/>
    <w:rsid w:val="00AE3047"/>
    <w:rsid w:val="00AE33AC"/>
    <w:rsid w:val="00AE4479"/>
    <w:rsid w:val="00AE71FF"/>
    <w:rsid w:val="00AF3E06"/>
    <w:rsid w:val="00AF4DD0"/>
    <w:rsid w:val="00AF6B6B"/>
    <w:rsid w:val="00AF7613"/>
    <w:rsid w:val="00B04BFE"/>
    <w:rsid w:val="00B0586B"/>
    <w:rsid w:val="00B05B3A"/>
    <w:rsid w:val="00B05D6C"/>
    <w:rsid w:val="00B14888"/>
    <w:rsid w:val="00B14C64"/>
    <w:rsid w:val="00B16083"/>
    <w:rsid w:val="00B26DB0"/>
    <w:rsid w:val="00B32CE7"/>
    <w:rsid w:val="00B3667E"/>
    <w:rsid w:val="00B41376"/>
    <w:rsid w:val="00B42A01"/>
    <w:rsid w:val="00B449E1"/>
    <w:rsid w:val="00B56637"/>
    <w:rsid w:val="00B5687A"/>
    <w:rsid w:val="00B56CCB"/>
    <w:rsid w:val="00B56FC6"/>
    <w:rsid w:val="00B60E42"/>
    <w:rsid w:val="00B66B43"/>
    <w:rsid w:val="00B73974"/>
    <w:rsid w:val="00B75655"/>
    <w:rsid w:val="00B814ED"/>
    <w:rsid w:val="00B83A32"/>
    <w:rsid w:val="00B8415E"/>
    <w:rsid w:val="00B84DF4"/>
    <w:rsid w:val="00B87F95"/>
    <w:rsid w:val="00B91B0A"/>
    <w:rsid w:val="00B96245"/>
    <w:rsid w:val="00B97F56"/>
    <w:rsid w:val="00BA46B5"/>
    <w:rsid w:val="00BA7F83"/>
    <w:rsid w:val="00BC0C75"/>
    <w:rsid w:val="00BC0E81"/>
    <w:rsid w:val="00BC1B39"/>
    <w:rsid w:val="00BC284E"/>
    <w:rsid w:val="00BC3D85"/>
    <w:rsid w:val="00BC3E46"/>
    <w:rsid w:val="00BC5602"/>
    <w:rsid w:val="00BE328A"/>
    <w:rsid w:val="00BE6B02"/>
    <w:rsid w:val="00BF1F16"/>
    <w:rsid w:val="00BF330B"/>
    <w:rsid w:val="00BF4E03"/>
    <w:rsid w:val="00C01F7C"/>
    <w:rsid w:val="00C0211A"/>
    <w:rsid w:val="00C14185"/>
    <w:rsid w:val="00C144D4"/>
    <w:rsid w:val="00C15E5D"/>
    <w:rsid w:val="00C17ECC"/>
    <w:rsid w:val="00C20A6B"/>
    <w:rsid w:val="00C23B01"/>
    <w:rsid w:val="00C277B2"/>
    <w:rsid w:val="00C3423F"/>
    <w:rsid w:val="00C345C8"/>
    <w:rsid w:val="00C370DA"/>
    <w:rsid w:val="00C43F24"/>
    <w:rsid w:val="00C44B82"/>
    <w:rsid w:val="00C46B3E"/>
    <w:rsid w:val="00C54D0E"/>
    <w:rsid w:val="00C62D77"/>
    <w:rsid w:val="00C678DC"/>
    <w:rsid w:val="00C71877"/>
    <w:rsid w:val="00C729D1"/>
    <w:rsid w:val="00C735EC"/>
    <w:rsid w:val="00C756EF"/>
    <w:rsid w:val="00C760A6"/>
    <w:rsid w:val="00C76891"/>
    <w:rsid w:val="00C8042D"/>
    <w:rsid w:val="00C812A8"/>
    <w:rsid w:val="00C84EE9"/>
    <w:rsid w:val="00C87C23"/>
    <w:rsid w:val="00C91BFE"/>
    <w:rsid w:val="00C939BB"/>
    <w:rsid w:val="00C94C20"/>
    <w:rsid w:val="00CA0F46"/>
    <w:rsid w:val="00CA53DB"/>
    <w:rsid w:val="00CA70F5"/>
    <w:rsid w:val="00CA7C7E"/>
    <w:rsid w:val="00CB1936"/>
    <w:rsid w:val="00CC4AE2"/>
    <w:rsid w:val="00CD1B40"/>
    <w:rsid w:val="00CD32C4"/>
    <w:rsid w:val="00CD39DB"/>
    <w:rsid w:val="00CD7B19"/>
    <w:rsid w:val="00CE040D"/>
    <w:rsid w:val="00CE23AD"/>
    <w:rsid w:val="00CF0E1A"/>
    <w:rsid w:val="00CF5123"/>
    <w:rsid w:val="00CF5423"/>
    <w:rsid w:val="00D067F1"/>
    <w:rsid w:val="00D1077E"/>
    <w:rsid w:val="00D14833"/>
    <w:rsid w:val="00D15FAE"/>
    <w:rsid w:val="00D17632"/>
    <w:rsid w:val="00D20F18"/>
    <w:rsid w:val="00D21514"/>
    <w:rsid w:val="00D23D1D"/>
    <w:rsid w:val="00D2675B"/>
    <w:rsid w:val="00D27A3D"/>
    <w:rsid w:val="00D30692"/>
    <w:rsid w:val="00D308B3"/>
    <w:rsid w:val="00D34387"/>
    <w:rsid w:val="00D34B0D"/>
    <w:rsid w:val="00D36D8F"/>
    <w:rsid w:val="00D37522"/>
    <w:rsid w:val="00D43356"/>
    <w:rsid w:val="00D60613"/>
    <w:rsid w:val="00D60A3D"/>
    <w:rsid w:val="00D625E5"/>
    <w:rsid w:val="00D63079"/>
    <w:rsid w:val="00D654C7"/>
    <w:rsid w:val="00D67DF1"/>
    <w:rsid w:val="00D702BF"/>
    <w:rsid w:val="00D708F7"/>
    <w:rsid w:val="00D75C43"/>
    <w:rsid w:val="00D8064C"/>
    <w:rsid w:val="00D86CFF"/>
    <w:rsid w:val="00D93AE0"/>
    <w:rsid w:val="00D9447C"/>
    <w:rsid w:val="00D94F51"/>
    <w:rsid w:val="00D97F78"/>
    <w:rsid w:val="00DA1D4B"/>
    <w:rsid w:val="00DA27B8"/>
    <w:rsid w:val="00DA36F3"/>
    <w:rsid w:val="00DA3C5A"/>
    <w:rsid w:val="00DA4DA1"/>
    <w:rsid w:val="00DA6B17"/>
    <w:rsid w:val="00DB2885"/>
    <w:rsid w:val="00DB6864"/>
    <w:rsid w:val="00DB6FCF"/>
    <w:rsid w:val="00DC0652"/>
    <w:rsid w:val="00DD074C"/>
    <w:rsid w:val="00DD1993"/>
    <w:rsid w:val="00DD1C27"/>
    <w:rsid w:val="00DD1E43"/>
    <w:rsid w:val="00DD26D4"/>
    <w:rsid w:val="00DD29F8"/>
    <w:rsid w:val="00DD3962"/>
    <w:rsid w:val="00DD5DEA"/>
    <w:rsid w:val="00DD7069"/>
    <w:rsid w:val="00DE0BB1"/>
    <w:rsid w:val="00DE1E6E"/>
    <w:rsid w:val="00DE70D6"/>
    <w:rsid w:val="00DF0FE1"/>
    <w:rsid w:val="00DF4115"/>
    <w:rsid w:val="00DF5903"/>
    <w:rsid w:val="00DF7710"/>
    <w:rsid w:val="00E02D50"/>
    <w:rsid w:val="00E05DF4"/>
    <w:rsid w:val="00E12674"/>
    <w:rsid w:val="00E13F44"/>
    <w:rsid w:val="00E1564C"/>
    <w:rsid w:val="00E27F38"/>
    <w:rsid w:val="00E31327"/>
    <w:rsid w:val="00E31AB9"/>
    <w:rsid w:val="00E31D03"/>
    <w:rsid w:val="00E32202"/>
    <w:rsid w:val="00E33138"/>
    <w:rsid w:val="00E331FD"/>
    <w:rsid w:val="00E3527F"/>
    <w:rsid w:val="00E36487"/>
    <w:rsid w:val="00E534DF"/>
    <w:rsid w:val="00E604CC"/>
    <w:rsid w:val="00E633E4"/>
    <w:rsid w:val="00E659F5"/>
    <w:rsid w:val="00E67D54"/>
    <w:rsid w:val="00E86B3B"/>
    <w:rsid w:val="00E90B7C"/>
    <w:rsid w:val="00E95C98"/>
    <w:rsid w:val="00EB54E3"/>
    <w:rsid w:val="00EC225F"/>
    <w:rsid w:val="00EC2260"/>
    <w:rsid w:val="00EC62C4"/>
    <w:rsid w:val="00ED08B5"/>
    <w:rsid w:val="00ED148A"/>
    <w:rsid w:val="00ED40DD"/>
    <w:rsid w:val="00ED7276"/>
    <w:rsid w:val="00ED7968"/>
    <w:rsid w:val="00EE2A54"/>
    <w:rsid w:val="00EE3CF9"/>
    <w:rsid w:val="00EE5763"/>
    <w:rsid w:val="00EE5916"/>
    <w:rsid w:val="00EF119E"/>
    <w:rsid w:val="00EF1AC1"/>
    <w:rsid w:val="00EF7F0B"/>
    <w:rsid w:val="00F05F88"/>
    <w:rsid w:val="00F067B1"/>
    <w:rsid w:val="00F114C8"/>
    <w:rsid w:val="00F16D9B"/>
    <w:rsid w:val="00F17EBD"/>
    <w:rsid w:val="00F2013C"/>
    <w:rsid w:val="00F20577"/>
    <w:rsid w:val="00F22562"/>
    <w:rsid w:val="00F2332E"/>
    <w:rsid w:val="00F23955"/>
    <w:rsid w:val="00F24D42"/>
    <w:rsid w:val="00F31D1D"/>
    <w:rsid w:val="00F31DC1"/>
    <w:rsid w:val="00F34074"/>
    <w:rsid w:val="00F34993"/>
    <w:rsid w:val="00F34D16"/>
    <w:rsid w:val="00F35404"/>
    <w:rsid w:val="00F41BF4"/>
    <w:rsid w:val="00F42E8F"/>
    <w:rsid w:val="00F448E3"/>
    <w:rsid w:val="00F460A4"/>
    <w:rsid w:val="00F542BA"/>
    <w:rsid w:val="00F55891"/>
    <w:rsid w:val="00F6174B"/>
    <w:rsid w:val="00F62853"/>
    <w:rsid w:val="00F62857"/>
    <w:rsid w:val="00F65017"/>
    <w:rsid w:val="00F66715"/>
    <w:rsid w:val="00F667B2"/>
    <w:rsid w:val="00F6749C"/>
    <w:rsid w:val="00F67B2B"/>
    <w:rsid w:val="00F723D6"/>
    <w:rsid w:val="00F72D59"/>
    <w:rsid w:val="00F74914"/>
    <w:rsid w:val="00F752FB"/>
    <w:rsid w:val="00F869AE"/>
    <w:rsid w:val="00F86C4C"/>
    <w:rsid w:val="00F9131D"/>
    <w:rsid w:val="00FA0231"/>
    <w:rsid w:val="00FA56F7"/>
    <w:rsid w:val="00FA7914"/>
    <w:rsid w:val="00FB2375"/>
    <w:rsid w:val="00FB7495"/>
    <w:rsid w:val="00FC04D2"/>
    <w:rsid w:val="00FC3E3B"/>
    <w:rsid w:val="00FC4B1D"/>
    <w:rsid w:val="00FC7F09"/>
    <w:rsid w:val="00FD0F45"/>
    <w:rsid w:val="00FE0553"/>
    <w:rsid w:val="00FE05AB"/>
    <w:rsid w:val="00FE72E3"/>
    <w:rsid w:val="00FE73E6"/>
    <w:rsid w:val="00FF1406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CA57"/>
  <w15:chartTrackingRefBased/>
  <w15:docId w15:val="{99479AE3-EE04-4D7E-A8F2-578C6DF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316441"/>
    <w:pPr>
      <w:keepNext/>
      <w:keepLines/>
      <w:numPr>
        <w:numId w:val="1"/>
      </w:numPr>
      <w:suppressAutoHyphens/>
      <w:spacing w:after="0" w:line="276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color w:val="3AAA35"/>
      <w:spacing w:val="20"/>
      <w:sz w:val="40"/>
      <w:szCs w:val="28"/>
      <w:lang w:eastAsia="fr-BE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316441"/>
    <w:pPr>
      <w:keepNext/>
      <w:keepLines/>
      <w:numPr>
        <w:ilvl w:val="1"/>
        <w:numId w:val="1"/>
      </w:numPr>
      <w:suppressAutoHyphens/>
      <w:spacing w:before="200" w:after="30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bCs/>
      <w:color w:val="BCCF00"/>
      <w:spacing w:val="20"/>
      <w:sz w:val="36"/>
      <w:szCs w:val="26"/>
      <w:lang w:eastAsia="fr-BE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316441"/>
    <w:pPr>
      <w:keepNext/>
      <w:keepLines/>
      <w:numPr>
        <w:ilvl w:val="2"/>
        <w:numId w:val="1"/>
      </w:numPr>
      <w:suppressAutoHyphens/>
      <w:spacing w:before="200" w:after="100" w:line="276" w:lineRule="auto"/>
      <w:contextualSpacing/>
      <w:jc w:val="both"/>
      <w:outlineLvl w:val="2"/>
    </w:pPr>
    <w:rPr>
      <w:rFonts w:ascii="Times New Roman" w:eastAsiaTheme="majorEastAsia" w:hAnsi="Times New Roman" w:cstheme="majorBidi"/>
      <w:b/>
      <w:bCs/>
      <w:caps/>
      <w:color w:val="3AAA35"/>
      <w:sz w:val="24"/>
      <w:szCs w:val="24"/>
      <w:lang w:eastAsia="fr-BE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316441"/>
    <w:pPr>
      <w:keepNext/>
      <w:keepLines/>
      <w:numPr>
        <w:ilvl w:val="3"/>
        <w:numId w:val="1"/>
      </w:numPr>
      <w:suppressAutoHyphens/>
      <w:spacing w:before="200" w:after="100" w:line="276" w:lineRule="auto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color w:val="BCCF00"/>
      <w:sz w:val="24"/>
      <w:szCs w:val="24"/>
      <w:lang w:eastAsia="fr-BE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316441"/>
    <w:pPr>
      <w:keepNext/>
      <w:keepLines/>
      <w:numPr>
        <w:ilvl w:val="4"/>
        <w:numId w:val="1"/>
      </w:numPr>
      <w:suppressAutoHyphens/>
      <w:spacing w:before="200" w:after="100" w:line="276" w:lineRule="auto"/>
      <w:contextualSpacing/>
      <w:jc w:val="both"/>
      <w:outlineLvl w:val="4"/>
    </w:pPr>
    <w:rPr>
      <w:rFonts w:ascii="Times New Roman" w:eastAsiaTheme="majorEastAsia" w:hAnsi="Times New Roman" w:cstheme="majorBidi"/>
      <w:b/>
      <w:color w:val="006633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ciensano">
    <w:name w:val="Body Sciensano"/>
    <w:basedOn w:val="Normal"/>
    <w:qFormat/>
    <w:rsid w:val="00316441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CommentText">
    <w:name w:val="annotation text"/>
    <w:basedOn w:val="Normal"/>
    <w:link w:val="CommentTextChar"/>
    <w:uiPriority w:val="99"/>
    <w:unhideWhenUsed/>
    <w:rsid w:val="00316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441"/>
    <w:rPr>
      <w:rFonts w:ascii="Times New Roman" w:eastAsia="Times New Roman" w:hAnsi="Times New Roman" w:cs="Times New Roman"/>
      <w:sz w:val="24"/>
      <w:szCs w:val="20"/>
      <w:lang w:val="fr-BE" w:eastAsia="fr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unhideWhenUsed/>
    <w:rsid w:val="00316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316441"/>
    <w:rPr>
      <w:sz w:val="20"/>
      <w:szCs w:val="20"/>
      <w:lang w:val="fr-BE"/>
    </w:rPr>
  </w:style>
  <w:style w:type="character" w:styleId="FootnoteReference">
    <w:name w:val="footnote reference"/>
    <w:aliases w:val="Footnote Reference Sciensano"/>
    <w:basedOn w:val="DefaultParagraphFont"/>
    <w:uiPriority w:val="18"/>
    <w:unhideWhenUsed/>
    <w:rsid w:val="003164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64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41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41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1"/>
    <w:rPr>
      <w:rFonts w:ascii="Segoe UI" w:hAnsi="Segoe UI" w:cs="Segoe UI"/>
      <w:sz w:val="18"/>
      <w:szCs w:val="18"/>
      <w:lang w:val="fr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316441"/>
    <w:rPr>
      <w:rFonts w:ascii="Times New Roman" w:eastAsiaTheme="majorEastAsia" w:hAnsi="Times New Roman" w:cstheme="majorBidi"/>
      <w:b/>
      <w:bCs/>
      <w:caps/>
      <w:color w:val="3AAA35"/>
      <w:spacing w:val="20"/>
      <w:sz w:val="40"/>
      <w:szCs w:val="28"/>
      <w:lang w:val="fr-BE" w:eastAsia="fr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316441"/>
    <w:rPr>
      <w:rFonts w:ascii="Times New Roman" w:eastAsiaTheme="majorEastAsia" w:hAnsi="Times New Roman" w:cstheme="majorBidi"/>
      <w:b/>
      <w:bCs/>
      <w:color w:val="BCCF00"/>
      <w:spacing w:val="20"/>
      <w:sz w:val="36"/>
      <w:szCs w:val="26"/>
      <w:lang w:val="fr-BE" w:eastAsia="fr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316441"/>
    <w:rPr>
      <w:rFonts w:ascii="Times New Roman" w:eastAsiaTheme="majorEastAsia" w:hAnsi="Times New Roman" w:cstheme="majorBidi"/>
      <w:b/>
      <w:bCs/>
      <w:caps/>
      <w:color w:val="3AAA35"/>
      <w:sz w:val="24"/>
      <w:szCs w:val="24"/>
      <w:lang w:val="fr-BE" w:eastAsia="fr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316441"/>
    <w:rPr>
      <w:rFonts w:ascii="Times New Roman" w:eastAsiaTheme="majorEastAsia" w:hAnsi="Times New Roman" w:cstheme="majorBidi"/>
      <w:b/>
      <w:bCs/>
      <w:iCs/>
      <w:color w:val="BCCF00"/>
      <w:sz w:val="24"/>
      <w:szCs w:val="24"/>
      <w:lang w:val="fr-BE" w:eastAsia="fr-BE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316441"/>
    <w:rPr>
      <w:rFonts w:ascii="Times New Roman" w:eastAsiaTheme="majorEastAsia" w:hAnsi="Times New Roman" w:cstheme="majorBidi"/>
      <w:b/>
      <w:color w:val="006633"/>
      <w:sz w:val="24"/>
      <w:szCs w:val="24"/>
      <w:lang w:val="fr-BE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6047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6864"/>
    <w:rPr>
      <w:lang w:val="fr-BE"/>
    </w:rPr>
  </w:style>
  <w:style w:type="table" w:styleId="GridTable4-Accent6">
    <w:name w:val="Grid Table 4 Accent 6"/>
    <w:basedOn w:val="TableNormal"/>
    <w:uiPriority w:val="49"/>
    <w:rsid w:val="00DB68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71FC0"/>
    <w:rPr>
      <w:color w:val="0563C1" w:themeColor="hyperlink"/>
      <w:u w:val="single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3631"/>
    <w:rPr>
      <w:color w:val="954F72" w:themeColor="followedHyperlink"/>
      <w:u w:val="single"/>
    </w:rPr>
  </w:style>
  <w:style w:type="paragraph" w:customStyle="1" w:styleId="Default">
    <w:name w:val="Default"/>
    <w:rsid w:val="00510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D44B9"/>
    <w:pPr>
      <w:spacing w:after="0" w:line="240" w:lineRule="auto"/>
    </w:pPr>
    <w:rPr>
      <w:lang w:val="fr-BE"/>
    </w:rPr>
  </w:style>
  <w:style w:type="paragraph" w:styleId="Header">
    <w:name w:val="header"/>
    <w:basedOn w:val="Normal"/>
    <w:link w:val="HeaderChar"/>
    <w:uiPriority w:val="99"/>
    <w:unhideWhenUsed/>
    <w:rsid w:val="0086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ED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86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ED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leuven.be/nl/laboratoriumgeneeskunde/genomic-surveillance-sars-cov-2-belg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-19.sciensano.be/sites/default/files/Covid19/COVID-19-Weekly_wastewater_surveill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5C0F-D0DC-4323-B1DE-5D35AD5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De Muylder</dc:creator>
  <cp:keywords/>
  <dc:description/>
  <cp:lastModifiedBy>Géraldine De Muylder</cp:lastModifiedBy>
  <cp:revision>14</cp:revision>
  <dcterms:created xsi:type="dcterms:W3CDTF">2023-10-18T12:47:00Z</dcterms:created>
  <dcterms:modified xsi:type="dcterms:W3CDTF">2023-10-19T13:23:00Z</dcterms:modified>
</cp:coreProperties>
</file>